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4518F" w:rsidRPr="0034518F" w14:paraId="1B0F95B3" w14:textId="77777777" w:rsidTr="506FA2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792116" w:rsidRPr="0034518F" w:rsidRDefault="00792116" w:rsidP="004C6617">
            <w:pPr>
              <w:spacing w:after="0" w:line="240" w:lineRule="auto"/>
              <w:ind w:left="397" w:hanging="397"/>
              <w:jc w:val="center"/>
              <w:rPr>
                <w:rFonts w:ascii="Arial" w:hAnsi="Arial" w:cs="Arial"/>
                <w:b/>
                <w:color w:val="000000" w:themeColor="text1"/>
                <w:sz w:val="20"/>
                <w:szCs w:val="20"/>
              </w:rPr>
            </w:pPr>
            <w:r w:rsidRPr="0034518F">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6D29B4" w14:textId="77777777" w:rsidR="00792116" w:rsidRPr="0034518F" w:rsidRDefault="00792116" w:rsidP="004C6617">
            <w:pPr>
              <w:spacing w:after="0" w:line="240" w:lineRule="auto"/>
              <w:ind w:left="397" w:hanging="397"/>
              <w:rPr>
                <w:rFonts w:ascii="Arial" w:hAnsi="Arial" w:cs="Arial"/>
                <w:b/>
                <w:color w:val="000000" w:themeColor="text1"/>
                <w:sz w:val="20"/>
                <w:szCs w:val="20"/>
              </w:rPr>
            </w:pPr>
            <w:r w:rsidRPr="0034518F">
              <w:rPr>
                <w:rFonts w:ascii="Arial" w:hAnsi="Arial" w:cs="Arial"/>
                <w:b/>
                <w:caps/>
                <w:color w:val="000000" w:themeColor="text1"/>
              </w:rPr>
              <w:t>Teorija financijskog posredovanja</w:t>
            </w:r>
            <w:r w:rsidRPr="0034518F">
              <w:rPr>
                <w:rFonts w:ascii="Arial" w:hAnsi="Arial" w:cs="Arial"/>
                <w:b/>
                <w:color w:val="000000" w:themeColor="text1"/>
                <w:sz w:val="20"/>
                <w:szCs w:val="20"/>
              </w:rPr>
              <w:t xml:space="preserve">  </w:t>
            </w:r>
          </w:p>
        </w:tc>
      </w:tr>
      <w:tr w:rsidR="0034518F" w:rsidRPr="0034518F" w14:paraId="648D2466" w14:textId="77777777" w:rsidTr="506FA20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2F5865" w14:textId="77777777" w:rsidR="00792116" w:rsidRPr="0034518F" w:rsidRDefault="00792116" w:rsidP="004C6617">
            <w:pPr>
              <w:spacing w:after="0" w:line="240" w:lineRule="auto"/>
              <w:rPr>
                <w:rStyle w:val="Naglaeno"/>
                <w:rFonts w:ascii="Arial" w:hAnsi="Arial" w:cs="Arial"/>
                <w:b w:val="0"/>
                <w:color w:val="000000" w:themeColor="text1"/>
                <w:sz w:val="20"/>
                <w:szCs w:val="20"/>
              </w:rPr>
            </w:pPr>
            <w:r w:rsidRPr="0034518F">
              <w:rPr>
                <w:rStyle w:val="Naglaeno"/>
                <w:rFonts w:ascii="Arial" w:hAnsi="Arial" w:cs="Arial"/>
                <w:color w:val="000000" w:themeColor="text1"/>
                <w:sz w:val="20"/>
                <w:szCs w:val="20"/>
              </w:rPr>
              <w:t>Kȏd</w:t>
            </w:r>
          </w:p>
        </w:tc>
        <w:tc>
          <w:tcPr>
            <w:tcW w:w="2502" w:type="dxa"/>
            <w:gridSpan w:val="3"/>
            <w:tcBorders>
              <w:top w:val="single" w:sz="12" w:space="0" w:color="auto"/>
              <w:right w:val="single" w:sz="12" w:space="0" w:color="auto"/>
            </w:tcBorders>
            <w:tcMar>
              <w:left w:w="57" w:type="dxa"/>
              <w:right w:w="57" w:type="dxa"/>
            </w:tcMar>
            <w:vAlign w:val="center"/>
          </w:tcPr>
          <w:p w14:paraId="247210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3CBBB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792116" w:rsidRPr="0034518F" w:rsidRDefault="00792116" w:rsidP="004C6617">
            <w:pPr>
              <w:spacing w:after="0" w:line="240" w:lineRule="auto"/>
              <w:rPr>
                <w:rFonts w:ascii="Arial" w:hAnsi="Arial" w:cs="Arial"/>
                <w:b/>
                <w:color w:val="000000" w:themeColor="text1"/>
                <w:sz w:val="20"/>
                <w:szCs w:val="20"/>
              </w:rPr>
            </w:pPr>
            <w:r w:rsidRPr="0034518F">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CDF00E6" w14:textId="1D7E62AB" w:rsidR="00792116" w:rsidRPr="0034518F" w:rsidRDefault="001E78C0" w:rsidP="004C6617">
            <w:pPr>
              <w:spacing w:after="0" w:line="240" w:lineRule="auto"/>
              <w:rPr>
                <w:rFonts w:ascii="Arial" w:hAnsi="Arial" w:cs="Arial"/>
                <w:color w:val="000000" w:themeColor="text1"/>
                <w:sz w:val="20"/>
                <w:szCs w:val="20"/>
              </w:rPr>
            </w:pPr>
            <w:r>
              <w:rPr>
                <w:rFonts w:ascii="Arial" w:hAnsi="Arial" w:cs="Arial"/>
                <w:color w:val="000000" w:themeColor="text1"/>
                <w:sz w:val="20"/>
                <w:szCs w:val="20"/>
              </w:rPr>
              <w:t>P</w:t>
            </w:r>
            <w:r w:rsidR="007B2643" w:rsidRPr="0034518F">
              <w:rPr>
                <w:rFonts w:ascii="Arial" w:hAnsi="Arial" w:cs="Arial"/>
                <w:color w:val="000000" w:themeColor="text1"/>
                <w:sz w:val="20"/>
                <w:szCs w:val="20"/>
              </w:rPr>
              <w:t>rof. dr. sc. Ana Kundid Novokmet</w:t>
            </w:r>
          </w:p>
          <w:p w14:paraId="698E0412" w14:textId="77777777" w:rsidR="005D2EA2" w:rsidRPr="0034518F" w:rsidRDefault="005D2EA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5</w:t>
            </w:r>
          </w:p>
        </w:tc>
      </w:tr>
      <w:tr w:rsidR="0034518F" w:rsidRPr="0034518F" w14:paraId="184A2F69" w14:textId="77777777" w:rsidTr="506FA2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672A6659"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66DDAA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3696C34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086CAE5"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w:t>
            </w:r>
          </w:p>
        </w:tc>
      </w:tr>
      <w:tr w:rsidR="0034518F" w:rsidRPr="0034518F" w14:paraId="38C17824" w14:textId="77777777" w:rsidTr="506FA200">
        <w:trPr>
          <w:trHeight w:val="345"/>
        </w:trPr>
        <w:tc>
          <w:tcPr>
            <w:tcW w:w="1912" w:type="dxa"/>
            <w:gridSpan w:val="2"/>
            <w:vMerge/>
            <w:tcMar>
              <w:left w:w="57" w:type="dxa"/>
              <w:right w:w="57" w:type="dxa"/>
            </w:tcMar>
            <w:vAlign w:val="center"/>
          </w:tcPr>
          <w:p w14:paraId="0A37501D" w14:textId="77777777" w:rsidR="00792116" w:rsidRPr="0034518F" w:rsidRDefault="00792116" w:rsidP="004C6617">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5DAB6C7B"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02EB378F" w14:textId="77777777" w:rsidR="00792116" w:rsidRPr="0034518F" w:rsidRDefault="00792116" w:rsidP="004C6617">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92116" w:rsidRPr="0034518F" w:rsidRDefault="00E00A06"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A05A809" w14:textId="77777777" w:rsidR="00792116" w:rsidRPr="0034518F" w:rsidRDefault="00792116" w:rsidP="004C6617">
            <w:pPr>
              <w:spacing w:after="0" w:line="240" w:lineRule="auto"/>
              <w:rPr>
                <w:rFonts w:ascii="Arial" w:hAnsi="Arial" w:cs="Arial"/>
                <w:strike/>
                <w:color w:val="000000" w:themeColor="text1"/>
                <w:sz w:val="20"/>
                <w:szCs w:val="20"/>
                <w:u w:val="single"/>
              </w:rPr>
            </w:pPr>
          </w:p>
        </w:tc>
        <w:tc>
          <w:tcPr>
            <w:tcW w:w="712" w:type="dxa"/>
            <w:tcBorders>
              <w:bottom w:val="single" w:sz="12" w:space="0" w:color="auto"/>
              <w:right w:val="single" w:sz="12" w:space="0" w:color="auto"/>
            </w:tcBorders>
            <w:vAlign w:val="center"/>
          </w:tcPr>
          <w:p w14:paraId="029B61C8" w14:textId="77777777" w:rsidR="00792116" w:rsidRPr="0034518F" w:rsidRDefault="005D2EA2" w:rsidP="005D2EA2">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792116" w:rsidRPr="0034518F" w:rsidRDefault="00792116" w:rsidP="004C6617">
            <w:pPr>
              <w:spacing w:after="0" w:line="240" w:lineRule="auto"/>
              <w:rPr>
                <w:rFonts w:ascii="Arial" w:hAnsi="Arial" w:cs="Arial"/>
                <w:color w:val="000000" w:themeColor="text1"/>
                <w:sz w:val="20"/>
                <w:szCs w:val="20"/>
              </w:rPr>
            </w:pPr>
          </w:p>
        </w:tc>
      </w:tr>
      <w:tr w:rsidR="0034518F" w:rsidRPr="0034518F" w14:paraId="139A8600"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046F6A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98DFBC8" w14:textId="77777777" w:rsidR="00792116" w:rsidRPr="0034518F" w:rsidRDefault="00E00A0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30</w:t>
            </w:r>
            <w:r w:rsidR="00BC4C02" w:rsidRPr="0034518F">
              <w:rPr>
                <w:rFonts w:ascii="Arial" w:hAnsi="Arial" w:cs="Arial"/>
                <w:color w:val="000000" w:themeColor="text1"/>
                <w:sz w:val="20"/>
                <w:szCs w:val="20"/>
              </w:rPr>
              <w:t>%</w:t>
            </w:r>
          </w:p>
        </w:tc>
      </w:tr>
      <w:tr w:rsidR="0034518F" w:rsidRPr="0034518F" w14:paraId="7AE32C00" w14:textId="77777777" w:rsidTr="506FA20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792116" w:rsidRPr="0034518F" w:rsidRDefault="00792116" w:rsidP="004C6617">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OPIS PREDMETA</w:t>
            </w:r>
          </w:p>
        </w:tc>
      </w:tr>
      <w:tr w:rsidR="0034518F" w:rsidRPr="0034518F" w14:paraId="7699014E"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FC31D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Osposobiti studente za kritičko prosuđivanje i valoriziranje društvene koristi od postojanja i reguliranja financijskih posrednika te povezivanje </w:t>
            </w:r>
            <w:r w:rsidR="006C4F79" w:rsidRPr="0034518F">
              <w:rPr>
                <w:rFonts w:ascii="Arial" w:hAnsi="Arial" w:cs="Arial"/>
                <w:color w:val="000000" w:themeColor="text1"/>
                <w:sz w:val="20"/>
                <w:szCs w:val="20"/>
              </w:rPr>
              <w:t xml:space="preserve">sadržaja financijskih usluga s </w:t>
            </w:r>
            <w:r w:rsidRPr="0034518F">
              <w:rPr>
                <w:rFonts w:ascii="Arial" w:hAnsi="Arial" w:cs="Arial"/>
                <w:color w:val="000000" w:themeColor="text1"/>
                <w:sz w:val="20"/>
                <w:szCs w:val="20"/>
              </w:rPr>
              <w:t>menadžmentom financijskih posrednika i zakonitostima financijskih kriza.</w:t>
            </w:r>
          </w:p>
        </w:tc>
      </w:tr>
      <w:tr w:rsidR="0034518F" w:rsidRPr="0034518F" w14:paraId="1D886BBE" w14:textId="77777777" w:rsidTr="506FA200">
        <w:tc>
          <w:tcPr>
            <w:tcW w:w="1912" w:type="dxa"/>
            <w:gridSpan w:val="2"/>
            <w:tcBorders>
              <w:left w:val="single" w:sz="12" w:space="0" w:color="auto"/>
            </w:tcBorders>
            <w:shd w:val="clear" w:color="auto" w:fill="CCFFFF"/>
            <w:tcMar>
              <w:left w:w="57" w:type="dxa"/>
              <w:right w:w="57" w:type="dxa"/>
            </w:tcMar>
            <w:vAlign w:val="center"/>
          </w:tcPr>
          <w:p w14:paraId="45981759"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C6AEBF"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Preduvjeti za upis kolegija propisani su Statutom Ekonomskog fakulteta te Pravilnikom o studiju i studiranju. </w:t>
            </w:r>
          </w:p>
          <w:p w14:paraId="4F709CCE"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6C4F79" w:rsidRPr="0034518F">
              <w:rPr>
                <w:rFonts w:ascii="Arial" w:hAnsi="Arial" w:cs="Arial"/>
                <w:color w:val="000000" w:themeColor="text1"/>
                <w:sz w:val="20"/>
                <w:szCs w:val="20"/>
              </w:rPr>
              <w:t>“</w:t>
            </w:r>
            <w:r w:rsidRPr="0034518F">
              <w:rPr>
                <w:rFonts w:ascii="Arial" w:hAnsi="Arial" w:cs="Arial"/>
                <w:color w:val="000000" w:themeColor="text1"/>
                <w:sz w:val="20"/>
                <w:szCs w:val="20"/>
              </w:rPr>
              <w:t>, „Burze i vrijednosnice“).</w:t>
            </w:r>
          </w:p>
        </w:tc>
      </w:tr>
      <w:tr w:rsidR="0034518F" w:rsidRPr="0034518F" w14:paraId="40529B6E" w14:textId="77777777" w:rsidTr="506FA200">
        <w:tc>
          <w:tcPr>
            <w:tcW w:w="1912" w:type="dxa"/>
            <w:gridSpan w:val="2"/>
            <w:tcBorders>
              <w:left w:val="single" w:sz="12" w:space="0" w:color="auto"/>
            </w:tcBorders>
            <w:shd w:val="clear" w:color="auto" w:fill="CCFFFF"/>
            <w:tcMar>
              <w:left w:w="57" w:type="dxa"/>
              <w:right w:w="57" w:type="dxa"/>
            </w:tcMar>
            <w:vAlign w:val="center"/>
          </w:tcPr>
          <w:p w14:paraId="043A1B0A"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Ishod učenja predmeta:</w:t>
            </w:r>
          </w:p>
          <w:p w14:paraId="3BE3AE10" w14:textId="77777777" w:rsidR="00792116" w:rsidRPr="0034518F" w:rsidRDefault="00792116" w:rsidP="004C6617">
            <w:pPr>
              <w:numPr>
                <w:ilvl w:val="0"/>
                <w:numId w:val="7"/>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sidRPr="0034518F">
              <w:rPr>
                <w:rFonts w:ascii="Arial" w:hAnsi="Arial" w:cs="Arial"/>
                <w:color w:val="000000" w:themeColor="text1"/>
                <w:sz w:val="20"/>
                <w:szCs w:val="20"/>
              </w:rPr>
              <w:t>.</w:t>
            </w:r>
          </w:p>
          <w:p w14:paraId="41C8F39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p w14:paraId="008D72E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Pojedinačni ishodi učenja:</w:t>
            </w:r>
          </w:p>
          <w:p w14:paraId="637882AD" w14:textId="77777777" w:rsidR="008F431E" w:rsidRPr="0034518F" w:rsidRDefault="00792116" w:rsidP="004C6617">
            <w:pPr>
              <w:pStyle w:val="Odlomakpopisa"/>
              <w:numPr>
                <w:ilvl w:val="0"/>
                <w:numId w:val="8"/>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Utvrditi značaj i značajke financijskog posredništva i njegove regulacije u financijskim</w:t>
            </w:r>
            <w:r w:rsidR="008F431E" w:rsidRPr="0034518F">
              <w:rPr>
                <w:rFonts w:ascii="Arial" w:hAnsi="Arial" w:cs="Arial"/>
                <w:color w:val="000000" w:themeColor="text1"/>
                <w:sz w:val="20"/>
                <w:szCs w:val="20"/>
              </w:rPr>
              <w:t xml:space="preserve">/gospodarskim </w:t>
            </w:r>
            <w:r w:rsidRPr="0034518F">
              <w:rPr>
                <w:rFonts w:ascii="Arial" w:hAnsi="Arial" w:cs="Arial"/>
                <w:color w:val="000000" w:themeColor="text1"/>
                <w:sz w:val="20"/>
                <w:szCs w:val="20"/>
              </w:rPr>
              <w:t>sustavima</w:t>
            </w:r>
            <w:r w:rsidR="00E64D18" w:rsidRPr="0034518F">
              <w:rPr>
                <w:rFonts w:ascii="Arial" w:hAnsi="Arial" w:cs="Arial"/>
                <w:color w:val="000000" w:themeColor="text1"/>
                <w:sz w:val="20"/>
                <w:szCs w:val="20"/>
              </w:rPr>
              <w:t>.</w:t>
            </w:r>
          </w:p>
          <w:p w14:paraId="7D814709" w14:textId="77777777" w:rsidR="008F431E" w:rsidRPr="0034518F" w:rsidRDefault="008F431E" w:rsidP="004C6617">
            <w:pPr>
              <w:pStyle w:val="Odlomakpopisa"/>
              <w:numPr>
                <w:ilvl w:val="0"/>
                <w:numId w:val="8"/>
              </w:numPr>
              <w:spacing w:after="0" w:line="240" w:lineRule="auto"/>
              <w:contextualSpacing w:val="0"/>
              <w:rPr>
                <w:rFonts w:ascii="Arial" w:eastAsia="Times New Roman" w:hAnsi="Arial" w:cs="Arial"/>
                <w:color w:val="000000" w:themeColor="text1"/>
                <w:sz w:val="20"/>
                <w:szCs w:val="20"/>
                <w:lang w:eastAsia="hr-HR"/>
              </w:rPr>
            </w:pPr>
            <w:r w:rsidRPr="0034518F">
              <w:rPr>
                <w:rFonts w:ascii="Arial" w:eastAsia="Times New Roman" w:hAnsi="Arial" w:cs="Arial"/>
                <w:color w:val="000000" w:themeColor="text1"/>
                <w:sz w:val="20"/>
                <w:szCs w:val="20"/>
                <w:lang w:eastAsia="hr-HR"/>
              </w:rPr>
              <w:t>Prezentirati teorijska tumačenja funkcionalnosti financijskih tržišta i usporediti koncepte bankovnog posredništva prema različitim kriterijima.</w:t>
            </w:r>
          </w:p>
          <w:p w14:paraId="0831E448" w14:textId="77777777" w:rsidR="008F431E" w:rsidRPr="0034518F" w:rsidRDefault="008F431E" w:rsidP="004C6617">
            <w:pPr>
              <w:pStyle w:val="Odlomakpopisa"/>
              <w:numPr>
                <w:ilvl w:val="0"/>
                <w:numId w:val="8"/>
              </w:numPr>
              <w:spacing w:after="0" w:line="240" w:lineRule="auto"/>
              <w:contextualSpacing w:val="0"/>
              <w:rPr>
                <w:color w:val="000000" w:themeColor="text1"/>
              </w:rPr>
            </w:pPr>
            <w:r w:rsidRPr="0034518F">
              <w:rPr>
                <w:rFonts w:ascii="Arial" w:eastAsia="Times New Roman" w:hAnsi="Arial" w:cs="Arial"/>
                <w:color w:val="000000" w:themeColor="text1"/>
                <w:sz w:val="20"/>
                <w:szCs w:val="20"/>
                <w:lang w:eastAsia="hr-HR"/>
              </w:rPr>
              <w:t>Utvrditi ključne aspekte redukcije problema asimetričnosti informacija u bankama</w:t>
            </w:r>
            <w:r w:rsidR="00E64D18" w:rsidRPr="0034518F">
              <w:rPr>
                <w:rFonts w:ascii="Arial" w:hAnsi="Arial" w:cs="Arial"/>
                <w:color w:val="000000" w:themeColor="text1"/>
                <w:sz w:val="20"/>
                <w:szCs w:val="20"/>
              </w:rPr>
              <w:t>.</w:t>
            </w:r>
          </w:p>
          <w:p w14:paraId="7C9570BF"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Prezentirati </w:t>
            </w:r>
            <w:r w:rsidR="00480720" w:rsidRPr="0034518F">
              <w:rPr>
                <w:rFonts w:ascii="Arial" w:hAnsi="Arial" w:cs="Arial"/>
                <w:color w:val="000000" w:themeColor="text1"/>
                <w:sz w:val="20"/>
                <w:szCs w:val="20"/>
              </w:rPr>
              <w:t xml:space="preserve">temeljna polazišta </w:t>
            </w:r>
            <w:r w:rsidRPr="0034518F">
              <w:rPr>
                <w:rFonts w:ascii="Arial" w:hAnsi="Arial" w:cs="Arial"/>
                <w:color w:val="000000" w:themeColor="text1"/>
                <w:sz w:val="20"/>
                <w:szCs w:val="20"/>
              </w:rPr>
              <w:t>financijskih kriza te utvrditi vrste različitih oblika regulacije financijskih posrednika.</w:t>
            </w:r>
          </w:p>
          <w:p w14:paraId="6A5BE519"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Zaključiti o uzrocima neučinkovitosti regulacije financijskih posrednika.</w:t>
            </w:r>
          </w:p>
          <w:p w14:paraId="610B0898"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Zaključiti o </w:t>
            </w:r>
            <w:r w:rsidR="00480720" w:rsidRPr="0034518F">
              <w:rPr>
                <w:rFonts w:ascii="Arial" w:hAnsi="Arial" w:cs="Arial"/>
                <w:color w:val="000000" w:themeColor="text1"/>
                <w:sz w:val="20"/>
                <w:szCs w:val="20"/>
              </w:rPr>
              <w:t>uzrocima p</w:t>
            </w:r>
            <w:r w:rsidRPr="0034518F">
              <w:rPr>
                <w:rFonts w:ascii="Arial" w:hAnsi="Arial" w:cs="Arial"/>
                <w:color w:val="000000" w:themeColor="text1"/>
                <w:sz w:val="20"/>
                <w:szCs w:val="20"/>
              </w:rPr>
              <w:t>ojave i potencijalnim kontraučincima od primjene određenih regulatornih instrumenata</w:t>
            </w:r>
            <w:r w:rsidR="00480720" w:rsidRPr="0034518F">
              <w:rPr>
                <w:rFonts w:ascii="Arial" w:hAnsi="Arial" w:cs="Arial"/>
                <w:color w:val="000000" w:themeColor="text1"/>
                <w:sz w:val="20"/>
                <w:szCs w:val="20"/>
              </w:rPr>
              <w:t>/koncepata.</w:t>
            </w:r>
          </w:p>
        </w:tc>
      </w:tr>
      <w:tr w:rsidR="0034518F" w:rsidRPr="0034518F" w14:paraId="524E40B8" w14:textId="77777777" w:rsidTr="506FA200">
        <w:tc>
          <w:tcPr>
            <w:tcW w:w="1912" w:type="dxa"/>
            <w:gridSpan w:val="2"/>
            <w:tcBorders>
              <w:left w:val="single" w:sz="12" w:space="0" w:color="auto"/>
            </w:tcBorders>
            <w:shd w:val="clear" w:color="auto" w:fill="CCFFFF"/>
            <w:tcMar>
              <w:left w:w="57" w:type="dxa"/>
              <w:right w:w="57" w:type="dxa"/>
            </w:tcMar>
            <w:vAlign w:val="center"/>
          </w:tcPr>
          <w:p w14:paraId="4A97AB8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4518F" w:rsidRPr="0034518F" w14:paraId="51CA5BB0" w14:textId="77777777" w:rsidTr="00C6717A">
              <w:tc>
                <w:tcPr>
                  <w:tcW w:w="497" w:type="dxa"/>
                  <w:vMerge w:val="restart"/>
                  <w:tcBorders>
                    <w:top w:val="single" w:sz="18" w:space="0" w:color="auto"/>
                    <w:left w:val="single" w:sz="18" w:space="0" w:color="auto"/>
                    <w:right w:val="single" w:sz="18" w:space="0" w:color="auto"/>
                  </w:tcBorders>
                  <w:textDirection w:val="btLr"/>
                  <w:vAlign w:val="center"/>
                </w:tcPr>
                <w:p w14:paraId="522C3B85" w14:textId="77777777" w:rsidR="00792116" w:rsidRPr="0034518F" w:rsidRDefault="00792116" w:rsidP="004C6617">
                  <w:pPr>
                    <w:spacing w:after="0" w:line="240" w:lineRule="auto"/>
                    <w:ind w:left="113" w:right="113"/>
                    <w:jc w:val="center"/>
                    <w:rPr>
                      <w:rFonts w:ascii="Arial" w:hAnsi="Arial" w:cs="Arial"/>
                      <w:color w:val="000000" w:themeColor="text1"/>
                      <w:sz w:val="20"/>
                      <w:szCs w:val="20"/>
                    </w:rPr>
                  </w:pPr>
                  <w:r w:rsidRPr="0034518F">
                    <w:rPr>
                      <w:rFonts w:ascii="Arial" w:hAnsi="Arial" w:cs="Arial"/>
                      <w:color w:val="000000" w:themeColor="text1"/>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A9F542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71C994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Vježbe</w:t>
                  </w:r>
                </w:p>
              </w:tc>
            </w:tr>
            <w:tr w:rsidR="0034518F" w:rsidRPr="0034518F" w14:paraId="37AAEC12" w14:textId="77777777" w:rsidTr="00C6717A">
              <w:trPr>
                <w:cantSplit/>
                <w:trHeight w:val="699"/>
              </w:trPr>
              <w:tc>
                <w:tcPr>
                  <w:tcW w:w="497" w:type="dxa"/>
                  <w:vMerge/>
                  <w:tcBorders>
                    <w:left w:val="single" w:sz="18" w:space="0" w:color="auto"/>
                    <w:right w:val="single" w:sz="18" w:space="0" w:color="auto"/>
                  </w:tcBorders>
                  <w:vAlign w:val="center"/>
                </w:tcPr>
                <w:p w14:paraId="72A3D3EC" w14:textId="77777777" w:rsidR="00792116" w:rsidRPr="0034518F" w:rsidRDefault="00792116"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00376AA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2" w:type="dxa"/>
                  <w:tcBorders>
                    <w:right w:val="single" w:sz="18" w:space="0" w:color="auto"/>
                  </w:tcBorders>
                  <w:vAlign w:val="center"/>
                </w:tcPr>
                <w:p w14:paraId="69DB62DB" w14:textId="77777777" w:rsidR="00792116" w:rsidRPr="0034518F" w:rsidRDefault="00792116" w:rsidP="004C6617">
                  <w:pPr>
                    <w:spacing w:after="0" w:line="240" w:lineRule="auto"/>
                    <w:ind w:left="-108" w:right="-108"/>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c>
                <w:tcPr>
                  <w:tcW w:w="3009" w:type="dxa"/>
                  <w:tcBorders>
                    <w:left w:val="single" w:sz="18" w:space="0" w:color="auto"/>
                  </w:tcBorders>
                  <w:vAlign w:val="center"/>
                </w:tcPr>
                <w:p w14:paraId="2E99018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1" w:type="dxa"/>
                  <w:tcBorders>
                    <w:right w:val="single" w:sz="18" w:space="0" w:color="auto"/>
                  </w:tcBorders>
                  <w:vAlign w:val="center"/>
                </w:tcPr>
                <w:p w14:paraId="5AE50352" w14:textId="77777777" w:rsidR="00792116" w:rsidRPr="0034518F" w:rsidRDefault="00792116" w:rsidP="004C6617">
                  <w:pPr>
                    <w:spacing w:after="0" w:line="240" w:lineRule="auto"/>
                    <w:ind w:left="-108" w:right="-69"/>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r>
            <w:tr w:rsidR="0034518F" w:rsidRPr="0034518F" w14:paraId="4888883B" w14:textId="77777777" w:rsidTr="00C6717A">
              <w:trPr>
                <w:cantSplit/>
              </w:trPr>
              <w:tc>
                <w:tcPr>
                  <w:tcW w:w="497" w:type="dxa"/>
                  <w:tcBorders>
                    <w:left w:val="single" w:sz="18" w:space="0" w:color="auto"/>
                    <w:right w:val="single" w:sz="18" w:space="0" w:color="auto"/>
                  </w:tcBorders>
                  <w:vAlign w:val="center"/>
                </w:tcPr>
                <w:p w14:paraId="649841BE"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w:t>
                  </w:r>
                </w:p>
              </w:tc>
              <w:tc>
                <w:tcPr>
                  <w:tcW w:w="2946" w:type="dxa"/>
                  <w:tcBorders>
                    <w:left w:val="single" w:sz="18" w:space="0" w:color="auto"/>
                  </w:tcBorders>
                  <w:vAlign w:val="center"/>
                </w:tcPr>
                <w:p w14:paraId="6320834A"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Oblici, sadržaj i glavne funkcije financijskog posredovanja. Uzajamnost financijskog posredništva i gospodarskog rasta.</w:t>
                  </w:r>
                </w:p>
              </w:tc>
              <w:tc>
                <w:tcPr>
                  <w:tcW w:w="472" w:type="dxa"/>
                  <w:tcBorders>
                    <w:right w:val="single" w:sz="18" w:space="0" w:color="auto"/>
                  </w:tcBorders>
                  <w:vAlign w:val="center"/>
                </w:tcPr>
                <w:p w14:paraId="7144751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6F3F231"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Informiranje o načinu rada.</w:t>
                  </w:r>
                </w:p>
                <w:p w14:paraId="68EA47B8" w14:textId="77777777" w:rsidR="00E00A06" w:rsidRPr="0034518F" w:rsidRDefault="00C6717A"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Evolucija i pojavni oblici financijskog sustava.</w:t>
                  </w:r>
                </w:p>
              </w:tc>
              <w:tc>
                <w:tcPr>
                  <w:tcW w:w="471" w:type="dxa"/>
                  <w:tcBorders>
                    <w:right w:val="single" w:sz="18" w:space="0" w:color="auto"/>
                  </w:tcBorders>
                  <w:vAlign w:val="center"/>
                </w:tcPr>
                <w:p w14:paraId="78E884CA"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3D7F0E4" w14:textId="77777777" w:rsidTr="00C6717A">
              <w:trPr>
                <w:cantSplit/>
              </w:trPr>
              <w:tc>
                <w:tcPr>
                  <w:tcW w:w="497" w:type="dxa"/>
                  <w:tcBorders>
                    <w:left w:val="single" w:sz="18" w:space="0" w:color="auto"/>
                    <w:right w:val="single" w:sz="18" w:space="0" w:color="auto"/>
                  </w:tcBorders>
                  <w:vAlign w:val="center"/>
                </w:tcPr>
                <w:p w14:paraId="7842F59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p w14:paraId="0D0B940D" w14:textId="77777777" w:rsidR="00C6717A" w:rsidRPr="0034518F" w:rsidRDefault="00C6717A"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68826242" w14:textId="77777777" w:rsidR="00E00A06" w:rsidRPr="0034518F" w:rsidRDefault="008825F0"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Uloga regulacije u razvoju financijskog sustava. </w:t>
                  </w:r>
                  <w:r w:rsidR="00114A62" w:rsidRPr="0034518F">
                    <w:rPr>
                      <w:rFonts w:ascii="Arial" w:hAnsi="Arial" w:cs="Arial"/>
                      <w:color w:val="000000" w:themeColor="text1"/>
                      <w:sz w:val="20"/>
                      <w:szCs w:val="20"/>
                    </w:rPr>
                    <w:t>Oblici regulacije dominantnih financijskih posrednika.</w:t>
                  </w:r>
                </w:p>
              </w:tc>
              <w:tc>
                <w:tcPr>
                  <w:tcW w:w="472" w:type="dxa"/>
                  <w:tcBorders>
                    <w:right w:val="single" w:sz="18" w:space="0" w:color="auto"/>
                  </w:tcBorders>
                  <w:vAlign w:val="center"/>
                </w:tcPr>
                <w:p w14:paraId="2CC21B90"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830AE9B" w14:textId="77777777" w:rsidR="00E00A06"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w:t>
                  </w:r>
                  <w:r w:rsidR="00114A62" w:rsidRPr="0034518F">
                    <w:rPr>
                      <w:rFonts w:ascii="Arial" w:hAnsi="Arial" w:cs="Arial"/>
                      <w:color w:val="000000" w:themeColor="text1"/>
                      <w:sz w:val="20"/>
                      <w:szCs w:val="20"/>
                    </w:rPr>
                    <w:t>zorci trajne neučinkovitosti financijske</w:t>
                  </w:r>
                  <w:r w:rsidRPr="0034518F">
                    <w:rPr>
                      <w:rFonts w:ascii="Arial" w:hAnsi="Arial" w:cs="Arial"/>
                      <w:color w:val="000000" w:themeColor="text1"/>
                      <w:sz w:val="20"/>
                      <w:szCs w:val="20"/>
                    </w:rPr>
                    <w:t xml:space="preserve"> regulacije.</w:t>
                  </w:r>
                </w:p>
                <w:p w14:paraId="340DE676" w14:textId="77777777" w:rsidR="00114A62" w:rsidRPr="0034518F" w:rsidRDefault="00114A6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7A6F74" w:rsidRPr="0034518F">
                    <w:rPr>
                      <w:rFonts w:ascii="Arial" w:hAnsi="Arial" w:cs="Arial"/>
                      <w:color w:val="000000" w:themeColor="text1"/>
                      <w:sz w:val="20"/>
                      <w:szCs w:val="20"/>
                    </w:rPr>
                    <w:t>I</w:t>
                  </w:r>
                  <w:r w:rsidRPr="0034518F">
                    <w:rPr>
                      <w:rFonts w:ascii="Arial" w:hAnsi="Arial" w:cs="Arial"/>
                      <w:color w:val="000000" w:themeColor="text1"/>
                      <w:sz w:val="20"/>
                      <w:szCs w:val="20"/>
                    </w:rPr>
                    <w:t>dentificiranje i rasprava primjera regulatorn</w:t>
                  </w:r>
                  <w:r w:rsidR="007A6F74" w:rsidRPr="0034518F">
                    <w:rPr>
                      <w:rFonts w:ascii="Arial" w:hAnsi="Arial" w:cs="Arial"/>
                      <w:color w:val="000000" w:themeColor="text1"/>
                      <w:sz w:val="20"/>
                      <w:szCs w:val="20"/>
                    </w:rPr>
                    <w:t>og</w:t>
                  </w:r>
                  <w:r w:rsidRPr="0034518F">
                    <w:rPr>
                      <w:rFonts w:ascii="Arial" w:hAnsi="Arial" w:cs="Arial"/>
                      <w:color w:val="000000" w:themeColor="text1"/>
                      <w:sz w:val="20"/>
                      <w:szCs w:val="20"/>
                    </w:rPr>
                    <w:t xml:space="preserve"> </w:t>
                  </w:r>
                  <w:r w:rsidR="007A6F74" w:rsidRPr="0034518F">
                    <w:rPr>
                      <w:rFonts w:ascii="Arial" w:hAnsi="Arial" w:cs="Arial"/>
                      <w:color w:val="000000" w:themeColor="text1"/>
                      <w:sz w:val="20"/>
                      <w:szCs w:val="20"/>
                    </w:rPr>
                    <w:t>zarobljavanja</w:t>
                  </w:r>
                  <w:r w:rsidRPr="0034518F">
                    <w:rPr>
                      <w:rFonts w:ascii="Arial" w:hAnsi="Arial" w:cs="Arial"/>
                      <w:color w:val="000000" w:themeColor="text1"/>
                      <w:sz w:val="20"/>
                      <w:szCs w:val="20"/>
                    </w:rPr>
                    <w:t>, otpora, kompromisa i arbitraže u praksi.</w:t>
                  </w:r>
                </w:p>
              </w:tc>
              <w:tc>
                <w:tcPr>
                  <w:tcW w:w="471" w:type="dxa"/>
                  <w:tcBorders>
                    <w:right w:val="single" w:sz="18" w:space="0" w:color="auto"/>
                  </w:tcBorders>
                  <w:vAlign w:val="center"/>
                </w:tcPr>
                <w:p w14:paraId="138328F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5B9E219" w14:textId="77777777" w:rsidTr="00C6717A">
              <w:trPr>
                <w:cantSplit/>
              </w:trPr>
              <w:tc>
                <w:tcPr>
                  <w:tcW w:w="497" w:type="dxa"/>
                  <w:tcBorders>
                    <w:left w:val="single" w:sz="18" w:space="0" w:color="auto"/>
                    <w:right w:val="single" w:sz="18" w:space="0" w:color="auto"/>
                  </w:tcBorders>
                  <w:vAlign w:val="center"/>
                </w:tcPr>
                <w:p w14:paraId="5FCD5EC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lastRenderedPageBreak/>
                    <w:t>3</w:t>
                  </w:r>
                </w:p>
              </w:tc>
              <w:tc>
                <w:tcPr>
                  <w:tcW w:w="2946" w:type="dxa"/>
                  <w:tcBorders>
                    <w:left w:val="single" w:sz="18" w:space="0" w:color="auto"/>
                  </w:tcBorders>
                  <w:vAlign w:val="center"/>
                </w:tcPr>
                <w:p w14:paraId="02E5A00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Tradicionalne teorije funkcionalnosti financijskog tržišta: teorija savršenog i efikasnog tržišta.</w:t>
                  </w:r>
                </w:p>
              </w:tc>
              <w:tc>
                <w:tcPr>
                  <w:tcW w:w="472" w:type="dxa"/>
                  <w:tcBorders>
                    <w:right w:val="single" w:sz="18" w:space="0" w:color="auto"/>
                  </w:tcBorders>
                  <w:vAlign w:val="center"/>
                </w:tcPr>
                <w:p w14:paraId="54B6C890"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7AFB05C" w14:textId="77777777" w:rsidR="00E54B0B"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w:t>
                  </w:r>
                  <w:r w:rsidR="00E54B0B" w:rsidRPr="0034518F">
                    <w:rPr>
                      <w:rFonts w:ascii="Arial" w:hAnsi="Arial" w:cs="Arial"/>
                      <w:color w:val="000000" w:themeColor="text1"/>
                      <w:sz w:val="20"/>
                      <w:szCs w:val="20"/>
                    </w:rPr>
                    <w:t>lternativne teorije funkcionalnosti financijskog tržišta.</w:t>
                  </w:r>
                </w:p>
                <w:p w14:paraId="67AAFB4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Diskusija zadanog članka na temu spornih tržišta.</w:t>
                  </w:r>
                </w:p>
              </w:tc>
              <w:tc>
                <w:tcPr>
                  <w:tcW w:w="471" w:type="dxa"/>
                  <w:tcBorders>
                    <w:right w:val="single" w:sz="18" w:space="0" w:color="auto"/>
                  </w:tcBorders>
                  <w:vAlign w:val="center"/>
                </w:tcPr>
                <w:p w14:paraId="58A8CB7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68111D0" w14:textId="77777777" w:rsidTr="00C6717A">
              <w:trPr>
                <w:cantSplit/>
              </w:trPr>
              <w:tc>
                <w:tcPr>
                  <w:tcW w:w="497" w:type="dxa"/>
                  <w:tcBorders>
                    <w:left w:val="single" w:sz="18" w:space="0" w:color="auto"/>
                    <w:right w:val="single" w:sz="18" w:space="0" w:color="auto"/>
                  </w:tcBorders>
                  <w:vAlign w:val="center"/>
                </w:tcPr>
                <w:p w14:paraId="2598DEE6"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4</w:t>
                  </w:r>
                </w:p>
              </w:tc>
              <w:tc>
                <w:tcPr>
                  <w:tcW w:w="2946" w:type="dxa"/>
                  <w:tcBorders>
                    <w:left w:val="single" w:sz="18" w:space="0" w:color="auto"/>
                  </w:tcBorders>
                  <w:vAlign w:val="center"/>
                </w:tcPr>
                <w:p w14:paraId="0406751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Neoklasične vs. bihevioralne financije.</w:t>
                  </w:r>
                </w:p>
              </w:tc>
              <w:tc>
                <w:tcPr>
                  <w:tcW w:w="472" w:type="dxa"/>
                  <w:tcBorders>
                    <w:right w:val="single" w:sz="18" w:space="0" w:color="auto"/>
                  </w:tcBorders>
                  <w:vAlign w:val="center"/>
                </w:tcPr>
                <w:p w14:paraId="2E643A3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18CE8C9" w14:textId="77777777" w:rsidR="00AC2768"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w:t>
                  </w:r>
                  <w:r w:rsidR="00E54B0B" w:rsidRPr="0034518F">
                    <w:rPr>
                      <w:rFonts w:ascii="Arial" w:hAnsi="Arial" w:cs="Arial"/>
                      <w:color w:val="000000" w:themeColor="text1"/>
                      <w:sz w:val="20"/>
                      <w:szCs w:val="20"/>
                    </w:rPr>
                    <w:t>ihevioralne financije u funkcij</w:t>
                  </w:r>
                  <w:r w:rsidR="00AC2768" w:rsidRPr="0034518F">
                    <w:rPr>
                      <w:rFonts w:ascii="Arial" w:hAnsi="Arial" w:cs="Arial"/>
                      <w:color w:val="000000" w:themeColor="text1"/>
                      <w:sz w:val="20"/>
                      <w:szCs w:val="20"/>
                    </w:rPr>
                    <w:t xml:space="preserve">i libertarijanskog paternalizma. </w:t>
                  </w:r>
                  <w:r w:rsidR="00E9094F" w:rsidRPr="0034518F">
                    <w:rPr>
                      <w:rFonts w:ascii="Arial" w:hAnsi="Arial" w:cs="Arial"/>
                      <w:color w:val="000000" w:themeColor="text1"/>
                      <w:sz w:val="20"/>
                      <w:szCs w:val="20"/>
                    </w:rPr>
                    <w:t>ili</w:t>
                  </w:r>
                </w:p>
                <w:p w14:paraId="1D4E874C" w14:textId="77777777" w:rsidR="00E9094F" w:rsidRPr="0034518F" w:rsidRDefault="00E9094F"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Zadatak: Provjera razumijevanja osnovnih mikro-bihevioralnih fenomena.</w:t>
                  </w:r>
                </w:p>
              </w:tc>
              <w:tc>
                <w:tcPr>
                  <w:tcW w:w="471" w:type="dxa"/>
                  <w:tcBorders>
                    <w:right w:val="single" w:sz="18" w:space="0" w:color="auto"/>
                  </w:tcBorders>
                  <w:vAlign w:val="center"/>
                </w:tcPr>
                <w:p w14:paraId="5A9DB5E7"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F23194E" w14:textId="77777777" w:rsidTr="00C6717A">
              <w:trPr>
                <w:cantSplit/>
              </w:trPr>
              <w:tc>
                <w:tcPr>
                  <w:tcW w:w="497" w:type="dxa"/>
                  <w:tcBorders>
                    <w:left w:val="single" w:sz="18" w:space="0" w:color="auto"/>
                    <w:right w:val="single" w:sz="18" w:space="0" w:color="auto"/>
                  </w:tcBorders>
                  <w:vAlign w:val="center"/>
                </w:tcPr>
                <w:p w14:paraId="44240AA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5</w:t>
                  </w:r>
                </w:p>
              </w:tc>
              <w:tc>
                <w:tcPr>
                  <w:tcW w:w="2946" w:type="dxa"/>
                  <w:tcBorders>
                    <w:left w:val="single" w:sz="18" w:space="0" w:color="auto"/>
                  </w:tcBorders>
                  <w:vAlign w:val="center"/>
                </w:tcPr>
                <w:p w14:paraId="202781D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Tradicionalna i suvremena teorija financijskog posredništva: informacijske asimetrije</w:t>
                  </w:r>
                  <w:r w:rsidR="007A6F74" w:rsidRPr="0034518F">
                    <w:rPr>
                      <w:rFonts w:ascii="Arial" w:hAnsi="Arial" w:cs="Arial"/>
                      <w:color w:val="000000" w:themeColor="text1"/>
                      <w:sz w:val="20"/>
                      <w:szCs w:val="20"/>
                    </w:rPr>
                    <w:t>, transakcijski troškovi</w:t>
                  </w:r>
                  <w:r w:rsidRPr="0034518F">
                    <w:rPr>
                      <w:rFonts w:ascii="Arial" w:hAnsi="Arial" w:cs="Arial"/>
                      <w:color w:val="000000" w:themeColor="text1"/>
                      <w:sz w:val="20"/>
                      <w:szCs w:val="20"/>
                    </w:rPr>
                    <w:t xml:space="preserve"> i nesustavni rizici u fokusu.</w:t>
                  </w:r>
                </w:p>
              </w:tc>
              <w:tc>
                <w:tcPr>
                  <w:tcW w:w="472" w:type="dxa"/>
                  <w:tcBorders>
                    <w:right w:val="single" w:sz="18" w:space="0" w:color="auto"/>
                  </w:tcBorders>
                  <w:vAlign w:val="center"/>
                </w:tcPr>
                <w:p w14:paraId="1BC03362"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7174F3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 xml:space="preserve">rovjera </w:t>
                  </w:r>
                  <w:r w:rsidR="00E9094F" w:rsidRPr="0034518F">
                    <w:rPr>
                      <w:rFonts w:ascii="Arial" w:hAnsi="Arial" w:cs="Arial"/>
                      <w:color w:val="000000" w:themeColor="text1"/>
                      <w:sz w:val="20"/>
                      <w:szCs w:val="20"/>
                    </w:rPr>
                    <w:t xml:space="preserve">razumijevanja </w:t>
                  </w:r>
                  <w:r w:rsidR="000D0D73" w:rsidRPr="0034518F">
                    <w:rPr>
                      <w:rFonts w:ascii="Arial" w:hAnsi="Arial" w:cs="Arial"/>
                      <w:color w:val="000000" w:themeColor="text1"/>
                      <w:sz w:val="20"/>
                      <w:szCs w:val="20"/>
                    </w:rPr>
                    <w:t>vrsta rizika, financijske transformacije i upravljanja rizicima.</w:t>
                  </w:r>
                </w:p>
                <w:p w14:paraId="3217B969" w14:textId="77777777" w:rsidR="000D0D73" w:rsidRPr="0034518F" w:rsidRDefault="000D0D7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Praktični zadatak: Izračun otvorene pozicije.</w:t>
                  </w:r>
                </w:p>
              </w:tc>
              <w:tc>
                <w:tcPr>
                  <w:tcW w:w="471" w:type="dxa"/>
                  <w:tcBorders>
                    <w:right w:val="single" w:sz="18" w:space="0" w:color="auto"/>
                  </w:tcBorders>
                  <w:vAlign w:val="center"/>
                </w:tcPr>
                <w:p w14:paraId="24DED8E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332C109" w14:textId="77777777" w:rsidTr="00C6717A">
              <w:trPr>
                <w:cantSplit/>
              </w:trPr>
              <w:tc>
                <w:tcPr>
                  <w:tcW w:w="497" w:type="dxa"/>
                  <w:tcBorders>
                    <w:left w:val="single" w:sz="18" w:space="0" w:color="auto"/>
                    <w:right w:val="single" w:sz="18" w:space="0" w:color="auto"/>
                  </w:tcBorders>
                  <w:vAlign w:val="center"/>
                </w:tcPr>
                <w:p w14:paraId="29B4EA11"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6</w:t>
                  </w:r>
                </w:p>
              </w:tc>
              <w:tc>
                <w:tcPr>
                  <w:tcW w:w="2946" w:type="dxa"/>
                  <w:tcBorders>
                    <w:left w:val="single" w:sz="18" w:space="0" w:color="auto"/>
                  </w:tcBorders>
                  <w:vAlign w:val="center"/>
                </w:tcPr>
                <w:p w14:paraId="622B4FC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Važnost koncepta sistemskog rizika za financijski sustav.</w:t>
                  </w:r>
                </w:p>
              </w:tc>
              <w:tc>
                <w:tcPr>
                  <w:tcW w:w="472" w:type="dxa"/>
                  <w:tcBorders>
                    <w:right w:val="single" w:sz="18" w:space="0" w:color="auto"/>
                  </w:tcBorders>
                  <w:vAlign w:val="center"/>
                </w:tcPr>
                <w:p w14:paraId="1D63D2B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D59B32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Projektni zadatak: </w:t>
                  </w:r>
                  <w:r w:rsidR="000D0D73" w:rsidRPr="0034518F">
                    <w:rPr>
                      <w:rFonts w:ascii="Arial" w:hAnsi="Arial" w:cs="Arial"/>
                      <w:color w:val="000000" w:themeColor="text1"/>
                      <w:sz w:val="20"/>
                      <w:szCs w:val="20"/>
                    </w:rPr>
                    <w:t>D</w:t>
                  </w:r>
                  <w:r w:rsidRPr="0034518F">
                    <w:rPr>
                      <w:rFonts w:ascii="Arial" w:hAnsi="Arial" w:cs="Arial"/>
                      <w:color w:val="000000" w:themeColor="text1"/>
                      <w:sz w:val="20"/>
                      <w:szCs w:val="20"/>
                    </w:rPr>
                    <w:t>ijagnoza izvora akumulacije i materijalizacije sistemskog rizika na izabranim primjerima.</w:t>
                  </w:r>
                </w:p>
              </w:tc>
              <w:tc>
                <w:tcPr>
                  <w:tcW w:w="471" w:type="dxa"/>
                  <w:tcBorders>
                    <w:right w:val="single" w:sz="18" w:space="0" w:color="auto"/>
                  </w:tcBorders>
                  <w:vAlign w:val="center"/>
                </w:tcPr>
                <w:p w14:paraId="4FD71FB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600EDE8" w14:textId="77777777" w:rsidTr="00C6717A">
              <w:trPr>
                <w:cantSplit/>
              </w:trPr>
              <w:tc>
                <w:tcPr>
                  <w:tcW w:w="497" w:type="dxa"/>
                  <w:tcBorders>
                    <w:left w:val="single" w:sz="18" w:space="0" w:color="auto"/>
                    <w:right w:val="single" w:sz="18" w:space="0" w:color="auto"/>
                  </w:tcBorders>
                  <w:vAlign w:val="center"/>
                </w:tcPr>
                <w:p w14:paraId="75697EE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7</w:t>
                  </w:r>
                </w:p>
              </w:tc>
              <w:tc>
                <w:tcPr>
                  <w:tcW w:w="2946" w:type="dxa"/>
                  <w:tcBorders>
                    <w:left w:val="single" w:sz="18" w:space="0" w:color="auto"/>
                  </w:tcBorders>
                  <w:vAlign w:val="center"/>
                </w:tcPr>
                <w:p w14:paraId="0E27B00A" w14:textId="77777777" w:rsidR="00E54B0B" w:rsidRPr="0034518F" w:rsidRDefault="00E54B0B" w:rsidP="004C6617">
                  <w:pPr>
                    <w:spacing w:after="0" w:line="240" w:lineRule="auto"/>
                    <w:rPr>
                      <w:rFonts w:ascii="Arial" w:hAnsi="Arial" w:cs="Arial"/>
                      <w:strike/>
                      <w:color w:val="000000" w:themeColor="text1"/>
                      <w:sz w:val="20"/>
                      <w:szCs w:val="20"/>
                    </w:rPr>
                  </w:pPr>
                </w:p>
                <w:p w14:paraId="2763E3B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Konvencionalni i alternativni oblici bankovnog posredništva.</w:t>
                  </w:r>
                </w:p>
              </w:tc>
              <w:tc>
                <w:tcPr>
                  <w:tcW w:w="472" w:type="dxa"/>
                  <w:tcBorders>
                    <w:right w:val="single" w:sz="18" w:space="0" w:color="auto"/>
                  </w:tcBorders>
                  <w:vAlign w:val="center"/>
                </w:tcPr>
                <w:p w14:paraId="39A728A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515E331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rovjera razumijevanja ključnih koncepata bankarstva.</w:t>
                  </w:r>
                </w:p>
                <w:p w14:paraId="7D0E6E55" w14:textId="77777777" w:rsidR="00E54B0B" w:rsidRPr="0034518F" w:rsidRDefault="00E54B0B" w:rsidP="00EE52FA">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 xml:space="preserve">Diskusija zadanih materijala o pojedinim oblicima </w:t>
                  </w:r>
                  <w:r w:rsidR="000D0D73" w:rsidRPr="0034518F">
                    <w:rPr>
                      <w:rFonts w:ascii="Arial" w:hAnsi="Arial" w:cs="Arial"/>
                      <w:color w:val="000000" w:themeColor="text1"/>
                      <w:sz w:val="20"/>
                      <w:szCs w:val="20"/>
                    </w:rPr>
                    <w:t>bankovnog posredništva u praksi ili o inoviranim konceptima u bankarstvu.</w:t>
                  </w:r>
                </w:p>
              </w:tc>
              <w:tc>
                <w:tcPr>
                  <w:tcW w:w="471" w:type="dxa"/>
                  <w:tcBorders>
                    <w:right w:val="single" w:sz="18" w:space="0" w:color="auto"/>
                  </w:tcBorders>
                  <w:vAlign w:val="center"/>
                </w:tcPr>
                <w:p w14:paraId="18B4C29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B023F19" w14:textId="77777777" w:rsidTr="00C6717A">
              <w:trPr>
                <w:cantSplit/>
              </w:trPr>
              <w:tc>
                <w:tcPr>
                  <w:tcW w:w="497" w:type="dxa"/>
                  <w:tcBorders>
                    <w:left w:val="single" w:sz="18" w:space="0" w:color="auto"/>
                    <w:right w:val="single" w:sz="18" w:space="0" w:color="auto"/>
                  </w:tcBorders>
                  <w:vAlign w:val="center"/>
                </w:tcPr>
                <w:p w14:paraId="44B0A208" w14:textId="77777777" w:rsidR="00E54B0B" w:rsidRPr="0034518F" w:rsidRDefault="00E54B0B"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t>8</w:t>
                  </w:r>
                </w:p>
              </w:tc>
              <w:tc>
                <w:tcPr>
                  <w:tcW w:w="2946" w:type="dxa"/>
                  <w:tcBorders>
                    <w:left w:val="single" w:sz="18" w:space="0" w:color="auto"/>
                  </w:tcBorders>
                  <w:vAlign w:val="center"/>
                </w:tcPr>
                <w:p w14:paraId="0D12102A" w14:textId="77777777" w:rsidR="00E54B0B" w:rsidRPr="0034518F" w:rsidRDefault="00E54B0B" w:rsidP="0034518F">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Asimetričnosti informiranja između banke i njenih dužnika.</w:t>
                  </w:r>
                </w:p>
              </w:tc>
              <w:tc>
                <w:tcPr>
                  <w:tcW w:w="472" w:type="dxa"/>
                  <w:tcBorders>
                    <w:right w:val="single" w:sz="18" w:space="0" w:color="auto"/>
                  </w:tcBorders>
                  <w:vAlign w:val="center"/>
                </w:tcPr>
                <w:p w14:paraId="6DEB9483"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3052F9A" w14:textId="77777777" w:rsidR="00E54B0B" w:rsidRPr="0034518F" w:rsidRDefault="00E54B0B"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Diskusija zadanih članaka na temu metodologije mjerenja kreditnog rizika kroz sustav kreditnog bodovanja te upotrebe restriktivnih odredbi u bankovnoj praksi.</w:t>
                  </w:r>
                </w:p>
              </w:tc>
              <w:tc>
                <w:tcPr>
                  <w:tcW w:w="471" w:type="dxa"/>
                  <w:tcBorders>
                    <w:right w:val="single" w:sz="18" w:space="0" w:color="auto"/>
                  </w:tcBorders>
                  <w:vAlign w:val="center"/>
                </w:tcPr>
                <w:p w14:paraId="7FC42638"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00CF62D5" w14:textId="77777777" w:rsidTr="00C6717A">
              <w:trPr>
                <w:cantSplit/>
              </w:trPr>
              <w:tc>
                <w:tcPr>
                  <w:tcW w:w="497" w:type="dxa"/>
                  <w:tcBorders>
                    <w:left w:val="single" w:sz="18" w:space="0" w:color="auto"/>
                    <w:right w:val="single" w:sz="18" w:space="0" w:color="auto"/>
                  </w:tcBorders>
                  <w:vAlign w:val="center"/>
                </w:tcPr>
                <w:p w14:paraId="2B2B730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9</w:t>
                  </w:r>
                </w:p>
              </w:tc>
              <w:tc>
                <w:tcPr>
                  <w:tcW w:w="2946" w:type="dxa"/>
                  <w:tcBorders>
                    <w:left w:val="single" w:sz="18" w:space="0" w:color="auto"/>
                  </w:tcBorders>
                  <w:vAlign w:val="center"/>
                </w:tcPr>
                <w:p w14:paraId="58443B07"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Teorija i praksa kreditnog racioniranja.</w:t>
                  </w:r>
                </w:p>
              </w:tc>
              <w:tc>
                <w:tcPr>
                  <w:tcW w:w="472" w:type="dxa"/>
                  <w:tcBorders>
                    <w:right w:val="single" w:sz="18" w:space="0" w:color="auto"/>
                  </w:tcBorders>
                  <w:vAlign w:val="center"/>
                </w:tcPr>
                <w:p w14:paraId="46783C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2352DDA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umanjenja problema kreditnog racioniranja.</w:t>
                  </w:r>
                </w:p>
              </w:tc>
              <w:tc>
                <w:tcPr>
                  <w:tcW w:w="471" w:type="dxa"/>
                  <w:tcBorders>
                    <w:right w:val="single" w:sz="18" w:space="0" w:color="auto"/>
                  </w:tcBorders>
                  <w:vAlign w:val="center"/>
                </w:tcPr>
                <w:p w14:paraId="5B896037"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E216D0" w14:textId="77777777" w:rsidTr="00C6717A">
              <w:trPr>
                <w:cantSplit/>
              </w:trPr>
              <w:tc>
                <w:tcPr>
                  <w:tcW w:w="497" w:type="dxa"/>
                  <w:tcBorders>
                    <w:left w:val="single" w:sz="18" w:space="0" w:color="auto"/>
                    <w:right w:val="single" w:sz="18" w:space="0" w:color="auto"/>
                  </w:tcBorders>
                  <w:vAlign w:val="center"/>
                </w:tcPr>
                <w:p w14:paraId="5D36975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10</w:t>
                  </w:r>
                </w:p>
              </w:tc>
              <w:tc>
                <w:tcPr>
                  <w:tcW w:w="2946" w:type="dxa"/>
                  <w:tcBorders>
                    <w:left w:val="single" w:sz="18" w:space="0" w:color="auto"/>
                  </w:tcBorders>
                  <w:vAlign w:val="center"/>
                </w:tcPr>
                <w:p w14:paraId="5039A021"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Financijske inovacije u upravljanju kreditnim rizikom.</w:t>
                  </w:r>
                </w:p>
              </w:tc>
              <w:tc>
                <w:tcPr>
                  <w:tcW w:w="472" w:type="dxa"/>
                  <w:tcBorders>
                    <w:right w:val="single" w:sz="18" w:space="0" w:color="auto"/>
                  </w:tcBorders>
                  <w:vAlign w:val="center"/>
                </w:tcPr>
                <w:p w14:paraId="0E86812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24D6CC0"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financijskih inovacija u kreditnim proizvodima.</w:t>
                  </w:r>
                </w:p>
              </w:tc>
              <w:tc>
                <w:tcPr>
                  <w:tcW w:w="471" w:type="dxa"/>
                  <w:tcBorders>
                    <w:right w:val="single" w:sz="18" w:space="0" w:color="auto"/>
                  </w:tcBorders>
                  <w:vAlign w:val="center"/>
                </w:tcPr>
                <w:p w14:paraId="55CCB59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0C01C37" w14:textId="77777777" w:rsidTr="00C6717A">
              <w:trPr>
                <w:cantSplit/>
              </w:trPr>
              <w:tc>
                <w:tcPr>
                  <w:tcW w:w="497" w:type="dxa"/>
                  <w:tcBorders>
                    <w:left w:val="single" w:sz="18" w:space="0" w:color="auto"/>
                    <w:right w:val="single" w:sz="18" w:space="0" w:color="auto"/>
                  </w:tcBorders>
                  <w:vAlign w:val="center"/>
                </w:tcPr>
                <w:p w14:paraId="4737E36C" w14:textId="77777777" w:rsidR="00AC2768" w:rsidRPr="00BA748F" w:rsidRDefault="00AC2768" w:rsidP="00BA748F">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11</w:t>
                  </w:r>
                </w:p>
              </w:tc>
              <w:tc>
                <w:tcPr>
                  <w:tcW w:w="2946" w:type="dxa"/>
                  <w:tcBorders>
                    <w:left w:val="single" w:sz="18" w:space="0" w:color="auto"/>
                  </w:tcBorders>
                  <w:vAlign w:val="center"/>
                </w:tcPr>
                <w:p w14:paraId="383154D9"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Asimetričnosti informiranja između banke i njenih vjerovnika.</w:t>
                  </w:r>
                </w:p>
              </w:tc>
              <w:tc>
                <w:tcPr>
                  <w:tcW w:w="472" w:type="dxa"/>
                  <w:tcBorders>
                    <w:right w:val="single" w:sz="18" w:space="0" w:color="auto"/>
                  </w:tcBorders>
                  <w:vAlign w:val="center"/>
                </w:tcPr>
                <w:p w14:paraId="31A2C4CD"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B2ADBA2"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Osiguranje depozita. </w:t>
                  </w:r>
                </w:p>
              </w:tc>
              <w:tc>
                <w:tcPr>
                  <w:tcW w:w="471" w:type="dxa"/>
                  <w:tcBorders>
                    <w:right w:val="single" w:sz="18" w:space="0" w:color="auto"/>
                  </w:tcBorders>
                  <w:vAlign w:val="center"/>
                </w:tcPr>
                <w:p w14:paraId="78E1534E"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8B4ACE6" w14:textId="77777777" w:rsidTr="00C6717A">
              <w:trPr>
                <w:cantSplit/>
              </w:trPr>
              <w:tc>
                <w:tcPr>
                  <w:tcW w:w="497" w:type="dxa"/>
                  <w:tcBorders>
                    <w:left w:val="single" w:sz="18" w:space="0" w:color="auto"/>
                    <w:right w:val="single" w:sz="18" w:space="0" w:color="auto"/>
                  </w:tcBorders>
                  <w:vAlign w:val="center"/>
                </w:tcPr>
                <w:p w14:paraId="4B73E58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12</w:t>
                  </w:r>
                </w:p>
              </w:tc>
              <w:tc>
                <w:tcPr>
                  <w:tcW w:w="2946" w:type="dxa"/>
                  <w:tcBorders>
                    <w:left w:val="single" w:sz="18" w:space="0" w:color="auto"/>
                  </w:tcBorders>
                  <w:vAlign w:val="center"/>
                </w:tcPr>
                <w:p w14:paraId="7110657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Konvergencija regulacije diljem svijeta: uzroci i posljedice.</w:t>
                  </w:r>
                  <w:r w:rsidRPr="0034518F">
                    <w:rPr>
                      <w:color w:val="000000" w:themeColor="text1"/>
                    </w:rPr>
                    <w:t xml:space="preserve"> </w:t>
                  </w:r>
                  <w:r w:rsidRPr="0034518F">
                    <w:rPr>
                      <w:rFonts w:ascii="Arial" w:hAnsi="Arial" w:cs="Arial"/>
                      <w:color w:val="000000" w:themeColor="text1"/>
                      <w:sz w:val="20"/>
                      <w:szCs w:val="20"/>
                    </w:rPr>
                    <w:t>Primjer: Baselski sporazumi.</w:t>
                  </w:r>
                </w:p>
              </w:tc>
              <w:tc>
                <w:tcPr>
                  <w:tcW w:w="472" w:type="dxa"/>
                  <w:tcBorders>
                    <w:right w:val="single" w:sz="18" w:space="0" w:color="auto"/>
                  </w:tcBorders>
                  <w:vAlign w:val="center"/>
                </w:tcPr>
                <w:p w14:paraId="231CE365"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9BBD2C3"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Prilagodba banaka Baselskim sporazumima i posljedice za gospodarstvo.</w:t>
                  </w:r>
                </w:p>
              </w:tc>
              <w:tc>
                <w:tcPr>
                  <w:tcW w:w="471" w:type="dxa"/>
                  <w:tcBorders>
                    <w:right w:val="single" w:sz="18" w:space="0" w:color="auto"/>
                  </w:tcBorders>
                  <w:vAlign w:val="center"/>
                </w:tcPr>
                <w:p w14:paraId="0F8B1BD1"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20872A2" w14:textId="77777777" w:rsidTr="00C6717A">
              <w:trPr>
                <w:cantSplit/>
              </w:trPr>
              <w:tc>
                <w:tcPr>
                  <w:tcW w:w="497" w:type="dxa"/>
                  <w:tcBorders>
                    <w:left w:val="single" w:sz="18" w:space="0" w:color="auto"/>
                    <w:right w:val="single" w:sz="18" w:space="0" w:color="auto"/>
                  </w:tcBorders>
                  <w:vAlign w:val="center"/>
                </w:tcPr>
                <w:p w14:paraId="39F18D26" w14:textId="77777777" w:rsidR="00AC2768" w:rsidRPr="0034518F" w:rsidRDefault="00AC2768"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t>13</w:t>
                  </w:r>
                </w:p>
              </w:tc>
              <w:tc>
                <w:tcPr>
                  <w:tcW w:w="2946" w:type="dxa"/>
                  <w:tcBorders>
                    <w:left w:val="single" w:sz="18" w:space="0" w:color="auto"/>
                  </w:tcBorders>
                  <w:vAlign w:val="center"/>
                </w:tcPr>
                <w:p w14:paraId="034CDFE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Odrednice bankarskih kriza.</w:t>
                  </w:r>
                </w:p>
              </w:tc>
              <w:tc>
                <w:tcPr>
                  <w:tcW w:w="472" w:type="dxa"/>
                  <w:tcBorders>
                    <w:right w:val="single" w:sz="18" w:space="0" w:color="auto"/>
                  </w:tcBorders>
                  <w:vAlign w:val="center"/>
                </w:tcPr>
                <w:p w14:paraId="23BD66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3A6EEB8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Uzroci propadanja banaka. Doktrina pružatelja posljednjeg utočišta.</w:t>
                  </w:r>
                </w:p>
              </w:tc>
              <w:tc>
                <w:tcPr>
                  <w:tcW w:w="471" w:type="dxa"/>
                  <w:tcBorders>
                    <w:right w:val="single" w:sz="18" w:space="0" w:color="auto"/>
                  </w:tcBorders>
                  <w:vAlign w:val="center"/>
                </w:tcPr>
                <w:p w14:paraId="462C853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bl>
          <w:p w14:paraId="60061E4C"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r>
      <w:tr w:rsidR="0034518F" w:rsidRPr="0034518F" w14:paraId="7E5AAE35" w14:textId="77777777" w:rsidTr="506FA2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9EAC90A"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predavanja</w:t>
            </w:r>
          </w:p>
          <w:p w14:paraId="2130819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seminari i radionice</w:t>
            </w:r>
            <w:r w:rsidRPr="0034518F">
              <w:rPr>
                <w:rFonts w:ascii="Arial" w:hAnsi="Arial" w:cs="Arial"/>
                <w:b w:val="0"/>
                <w:color w:val="000000" w:themeColor="text1"/>
                <w:sz w:val="20"/>
                <w:szCs w:val="20"/>
                <w:lang w:val="hr-HR"/>
              </w:rPr>
              <w:t xml:space="preserve">  </w:t>
            </w:r>
          </w:p>
          <w:p w14:paraId="74A4D61C"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vježbe  </w:t>
            </w:r>
          </w:p>
          <w:p w14:paraId="166E739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b w:val="0"/>
                <w:i/>
                <w:color w:val="000000" w:themeColor="text1"/>
                <w:sz w:val="20"/>
                <w:szCs w:val="20"/>
                <w:lang w:val="hr-HR"/>
              </w:rPr>
              <w:t>on line</w:t>
            </w:r>
            <w:r w:rsidRPr="0034518F">
              <w:rPr>
                <w:rFonts w:ascii="Arial" w:hAnsi="Arial" w:cs="Arial"/>
                <w:b w:val="0"/>
                <w:color w:val="000000" w:themeColor="text1"/>
                <w:sz w:val="20"/>
                <w:szCs w:val="20"/>
                <w:lang w:val="hr-HR"/>
              </w:rPr>
              <w:t xml:space="preserve"> u cijelosti</w:t>
            </w:r>
          </w:p>
          <w:p w14:paraId="1386DDE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mješovito e-učenje</w:t>
            </w:r>
          </w:p>
          <w:p w14:paraId="79E036D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1F0AB1F0"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samostalni zadaci</w:t>
            </w:r>
            <w:r w:rsidRPr="0034518F">
              <w:rPr>
                <w:rFonts w:ascii="Arial" w:hAnsi="Arial" w:cs="Arial"/>
                <w:b w:val="0"/>
                <w:color w:val="000000" w:themeColor="text1"/>
                <w:sz w:val="20"/>
                <w:szCs w:val="20"/>
                <w:lang w:val="hr-HR"/>
              </w:rPr>
              <w:t xml:space="preserve">  </w:t>
            </w:r>
          </w:p>
          <w:p w14:paraId="1A39E4CA"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multimedija </w:t>
            </w:r>
          </w:p>
          <w:p w14:paraId="7349E5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laboratorij</w:t>
            </w:r>
          </w:p>
          <w:p w14:paraId="5514BF56"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mentorski rad</w:t>
            </w:r>
          </w:p>
          <w:p w14:paraId="4036948D"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w:t>
            </w:r>
            <w:r w:rsidR="003016F7"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003016F7" w:rsidRPr="0034518F">
              <w:rPr>
                <w:rFonts w:ascii="Arial" w:hAnsi="Arial" w:cs="Arial"/>
                <w:color w:val="000000" w:themeColor="text1"/>
                <w:sz w:val="20"/>
                <w:szCs w:val="20"/>
              </w:rPr>
            </w:r>
            <w:r w:rsidR="003016F7" w:rsidRPr="0034518F">
              <w:rPr>
                <w:rFonts w:ascii="Arial" w:hAnsi="Arial" w:cs="Arial"/>
                <w:color w:val="000000" w:themeColor="text1"/>
                <w:sz w:val="20"/>
                <w:szCs w:val="20"/>
              </w:rPr>
              <w:fldChar w:fldCharType="separate"/>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003016F7"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r w:rsidRPr="0034518F">
              <w:rPr>
                <w:rFonts w:ascii="Arial" w:hAnsi="Arial" w:cs="Arial"/>
                <w:b/>
                <w:color w:val="000000" w:themeColor="text1"/>
                <w:sz w:val="20"/>
                <w:szCs w:val="20"/>
              </w:rPr>
              <w:t xml:space="preserve"> </w:t>
            </w:r>
            <w:r w:rsidRPr="0034518F">
              <w:rPr>
                <w:rFonts w:ascii="Arial" w:hAnsi="Arial" w:cs="Arial"/>
                <w:b/>
                <w:color w:val="000000" w:themeColor="text1"/>
                <w:sz w:val="20"/>
                <w:szCs w:val="20"/>
                <w:bdr w:val="single" w:sz="12" w:space="0" w:color="auto"/>
              </w:rPr>
              <w:t xml:space="preserve"> </w:t>
            </w:r>
          </w:p>
        </w:tc>
      </w:tr>
      <w:tr w:rsidR="0034518F" w:rsidRPr="0034518F" w14:paraId="44EAFD9C" w14:textId="77777777" w:rsidTr="506FA200">
        <w:trPr>
          <w:trHeight w:val="577"/>
        </w:trPr>
        <w:tc>
          <w:tcPr>
            <w:tcW w:w="1912" w:type="dxa"/>
            <w:gridSpan w:val="2"/>
            <w:vMerge/>
            <w:tcMar>
              <w:left w:w="57" w:type="dxa"/>
              <w:right w:w="57" w:type="dxa"/>
            </w:tcMar>
            <w:vAlign w:val="center"/>
          </w:tcPr>
          <w:p w14:paraId="4B94D5A5"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3DEEC669" w14:textId="77777777" w:rsidR="00792116" w:rsidRPr="0034518F" w:rsidRDefault="00792116" w:rsidP="004C6617">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3656B9AB" w14:textId="77777777" w:rsidR="00792116" w:rsidRPr="0034518F" w:rsidRDefault="00792116" w:rsidP="004C6617">
            <w:pPr>
              <w:pStyle w:val="FieldText"/>
              <w:rPr>
                <w:rFonts w:ascii="Arial" w:hAnsi="Arial" w:cs="Arial"/>
                <w:b w:val="0"/>
                <w:color w:val="000000" w:themeColor="text1"/>
                <w:sz w:val="20"/>
                <w:szCs w:val="20"/>
                <w:lang w:val="hr-HR"/>
              </w:rPr>
            </w:pPr>
          </w:p>
        </w:tc>
      </w:tr>
      <w:tr w:rsidR="0034518F" w:rsidRPr="0034518F" w14:paraId="471B808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302E37A" w14:textId="77777777" w:rsidR="00E00A06" w:rsidRPr="00F36D32" w:rsidRDefault="00D91A0B" w:rsidP="00D91A0B">
            <w:pPr>
              <w:tabs>
                <w:tab w:val="left" w:pos="2820"/>
              </w:tabs>
              <w:spacing w:after="0" w:line="240" w:lineRule="auto"/>
              <w:jc w:val="both"/>
              <w:rPr>
                <w:rFonts w:ascii="Arial" w:hAnsi="Arial" w:cs="Arial"/>
                <w:sz w:val="20"/>
                <w:szCs w:val="20"/>
              </w:rPr>
            </w:pPr>
            <w:r w:rsidRPr="00F36D32">
              <w:rPr>
                <w:rFonts w:ascii="Arial" w:hAnsi="Arial" w:cs="Arial"/>
                <w:sz w:val="20"/>
                <w:szCs w:val="20"/>
              </w:rPr>
              <w:t xml:space="preserve">Uvjet za ostvarenje prava na potpis i pristup ispitu je 60%-tna prisutnost na predavanjima i vježbama za redovne studente, odnosno 30%-tna prisutnost na predavanjima i vježbama za izvanredne studente te aktivnost studenata tijekom </w:t>
            </w:r>
            <w:r w:rsidRPr="00F36D32">
              <w:rPr>
                <w:rFonts w:ascii="Arial" w:hAnsi="Arial" w:cs="Arial"/>
                <w:sz w:val="20"/>
                <w:szCs w:val="20"/>
              </w:rPr>
              <w:lastRenderedPageBreak/>
              <w:t>nastavnog dijela semestra. Tijekom semestra, u tjednima u kojima se održava nastava, bit će organizirana 4 samoevaluacijska testa. Za ostvarenje prava na potpis student pored propisanog postotka prisutnosti na predavanjima i vježbama treba pristupiti i pokušati riješiti svaki od 4 online samoevaluacijska testa, koja će se sastojati od esejskih pitanja, kritičke prosudbe ili problemskih zadataka. Uspješno rješavanje samoevaluacijskih testova ne može zamijeniti provjeru znanja u obliku kolokvija ili ispita, ali može doprinijeti ostvarenju veće pozitivne ocjene. Prvom kolokviju prethode 2 samoevaluacijska testa, nakon čega slijede ostali samoevaluacijski testovi.</w:t>
            </w:r>
          </w:p>
        </w:tc>
      </w:tr>
      <w:tr w:rsidR="0034518F" w:rsidRPr="0034518F" w14:paraId="1B376CC6" w14:textId="77777777" w:rsidTr="506FA2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 xml:space="preserve">Praćenje rada studenata </w:t>
            </w:r>
            <w:r w:rsidRPr="0034518F">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792116" w:rsidRPr="00F36D32" w:rsidRDefault="00792116" w:rsidP="004C6617">
            <w:pPr>
              <w:pStyle w:val="FieldText"/>
              <w:rPr>
                <w:rFonts w:ascii="Arial" w:hAnsi="Arial" w:cs="Arial"/>
                <w:b w:val="0"/>
                <w:sz w:val="20"/>
                <w:szCs w:val="20"/>
                <w:lang w:val="hr-HR"/>
              </w:rPr>
            </w:pPr>
            <w:r w:rsidRPr="00F36D3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E9C2A93" w14:textId="77777777" w:rsidR="00792116" w:rsidRPr="00F36D32" w:rsidRDefault="00724218" w:rsidP="007F6929">
            <w:pPr>
              <w:pStyle w:val="FieldText"/>
              <w:rPr>
                <w:rFonts w:ascii="Arial" w:hAnsi="Arial" w:cs="Arial"/>
                <w:b w:val="0"/>
                <w:sz w:val="20"/>
                <w:szCs w:val="20"/>
                <w:lang w:val="hr-HR"/>
              </w:rPr>
            </w:pPr>
            <w:r w:rsidRPr="00F36D32">
              <w:rPr>
                <w:rFonts w:ascii="Arial" w:hAnsi="Arial" w:cs="Arial"/>
                <w:b w:val="0"/>
                <w:sz w:val="20"/>
                <w:szCs w:val="20"/>
                <w:lang w:val="hr-HR"/>
              </w:rPr>
              <w:t>0,</w:t>
            </w:r>
            <w:r w:rsidR="007F6929" w:rsidRPr="00F36D32">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D7CEE6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5038655" w14:textId="77777777" w:rsidTr="506FA200">
        <w:trPr>
          <w:trHeight w:val="397"/>
        </w:trPr>
        <w:tc>
          <w:tcPr>
            <w:tcW w:w="1912" w:type="dxa"/>
            <w:gridSpan w:val="2"/>
            <w:vMerge/>
            <w:tcMar>
              <w:left w:w="57" w:type="dxa"/>
              <w:right w:w="57" w:type="dxa"/>
            </w:tcMar>
            <w:vAlign w:val="center"/>
          </w:tcPr>
          <w:p w14:paraId="45FB0818"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48248731" w14:textId="77777777" w:rsidR="009051B6" w:rsidRPr="00F36D32" w:rsidRDefault="00724218" w:rsidP="009051B6">
            <w:pPr>
              <w:pStyle w:val="FieldText"/>
              <w:rPr>
                <w:rFonts w:ascii="Arial" w:hAnsi="Arial" w:cs="Arial"/>
                <w:b w:val="0"/>
                <w:sz w:val="20"/>
                <w:szCs w:val="20"/>
                <w:lang w:val="hr-HR"/>
              </w:rPr>
            </w:pPr>
            <w:r w:rsidRPr="00F36D32">
              <w:rPr>
                <w:rFonts w:ascii="Arial" w:hAnsi="Arial" w:cs="Arial"/>
                <w:b w:val="0"/>
                <w:sz w:val="20"/>
                <w:szCs w:val="20"/>
                <w:lang w:val="hr-HR"/>
              </w:rPr>
              <w:t>Samoevaluacijski testovi</w:t>
            </w:r>
          </w:p>
        </w:tc>
        <w:tc>
          <w:tcPr>
            <w:tcW w:w="1330" w:type="dxa"/>
            <w:gridSpan w:val="2"/>
            <w:tcBorders>
              <w:right w:val="single" w:sz="12" w:space="0" w:color="auto"/>
            </w:tcBorders>
            <w:tcMar>
              <w:left w:w="57" w:type="dxa"/>
              <w:right w:w="57" w:type="dxa"/>
            </w:tcMar>
            <w:vAlign w:val="center"/>
          </w:tcPr>
          <w:p w14:paraId="329596BA" w14:textId="77777777" w:rsidR="009051B6" w:rsidRPr="00F36D32" w:rsidRDefault="00724218" w:rsidP="007F6929">
            <w:pPr>
              <w:pStyle w:val="FieldText"/>
              <w:rPr>
                <w:rFonts w:ascii="Arial" w:hAnsi="Arial" w:cs="Arial"/>
                <w:b w:val="0"/>
                <w:sz w:val="20"/>
                <w:szCs w:val="20"/>
                <w:lang w:val="hr-HR"/>
              </w:rPr>
            </w:pPr>
            <w:r w:rsidRPr="00F36D32">
              <w:rPr>
                <w:rFonts w:ascii="Arial" w:hAnsi="Arial" w:cs="Arial"/>
                <w:b w:val="0"/>
                <w:sz w:val="20"/>
                <w:szCs w:val="20"/>
                <w:lang w:val="hr-HR"/>
              </w:rPr>
              <w:t>0,</w:t>
            </w:r>
            <w:r w:rsidR="007F6929" w:rsidRPr="00F36D32">
              <w:rPr>
                <w:rFonts w:ascii="Arial" w:hAnsi="Arial" w:cs="Arial"/>
                <w:b w:val="0"/>
                <w:sz w:val="20"/>
                <w:szCs w:val="20"/>
                <w:lang w:val="hr-HR"/>
              </w:rPr>
              <w:t>3</w:t>
            </w:r>
          </w:p>
        </w:tc>
      </w:tr>
      <w:tr w:rsidR="0034518F" w:rsidRPr="0034518F" w14:paraId="69F25A25" w14:textId="77777777" w:rsidTr="506FA200">
        <w:trPr>
          <w:trHeight w:val="397"/>
        </w:trPr>
        <w:tc>
          <w:tcPr>
            <w:tcW w:w="1912" w:type="dxa"/>
            <w:gridSpan w:val="2"/>
            <w:vMerge/>
            <w:tcMar>
              <w:left w:w="57" w:type="dxa"/>
              <w:right w:w="57" w:type="dxa"/>
            </w:tcMar>
            <w:vAlign w:val="center"/>
          </w:tcPr>
          <w:p w14:paraId="049F31CB"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008E0C9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E8E0E33"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r w:rsidRPr="0034518F">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8FDB81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36226A0" w14:textId="77777777" w:rsidTr="506FA200">
        <w:trPr>
          <w:trHeight w:val="397"/>
        </w:trPr>
        <w:tc>
          <w:tcPr>
            <w:tcW w:w="1912" w:type="dxa"/>
            <w:gridSpan w:val="2"/>
            <w:vMerge/>
            <w:tcMar>
              <w:left w:w="57" w:type="dxa"/>
              <w:right w:w="57" w:type="dxa"/>
            </w:tcMar>
            <w:vAlign w:val="center"/>
          </w:tcPr>
          <w:p w14:paraId="53128261"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DF185A8"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55386FF5"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62486C05"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2B039F34"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F195667"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5712A3CB" w14:textId="77777777" w:rsidTr="506FA200">
        <w:trPr>
          <w:trHeight w:val="397"/>
        </w:trPr>
        <w:tc>
          <w:tcPr>
            <w:tcW w:w="1912" w:type="dxa"/>
            <w:gridSpan w:val="2"/>
            <w:vMerge/>
            <w:tcMar>
              <w:left w:w="57" w:type="dxa"/>
              <w:right w:w="57" w:type="dxa"/>
            </w:tcMar>
            <w:vAlign w:val="center"/>
          </w:tcPr>
          <w:p w14:paraId="4101652C"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989EAE"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4396C8BA" w14:textId="77777777" w:rsidTr="506FA2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346F1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5AEB2D79"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rPr>
            </w:pPr>
            <w:r w:rsidRPr="506FA200">
              <w:rPr>
                <w:rFonts w:ascii="Arial" w:hAnsi="Arial" w:cs="Arial"/>
                <w:color w:val="000000" w:themeColor="text1"/>
                <w:sz w:val="20"/>
                <w:szCs w:val="20"/>
              </w:rPr>
              <w:t>* Polaganje kolokvija zamjenjuje završni pisani dio ispita.</w:t>
            </w:r>
            <w:r w:rsidRPr="506FA200">
              <w:rPr>
                <w:rFonts w:ascii="Arial" w:hAnsi="Arial" w:cs="Arial"/>
                <w:color w:val="000000" w:themeColor="text1"/>
              </w:rPr>
              <w:t xml:space="preserve"> </w:t>
            </w:r>
          </w:p>
          <w:p w14:paraId="17B65C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704CFDB6"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34518F" w:rsidRPr="0034518F" w14:paraId="10742E4A" w14:textId="77777777" w:rsidTr="506FA20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9051B6" w:rsidRPr="0034518F" w:rsidRDefault="009051B6" w:rsidP="009051B6">
            <w:pPr>
              <w:tabs>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Dostupnost putem ostalih medija</w:t>
            </w:r>
          </w:p>
        </w:tc>
      </w:tr>
      <w:tr w:rsidR="0034518F" w:rsidRPr="0034518F" w14:paraId="44CBB780" w14:textId="77777777" w:rsidTr="506FA200">
        <w:trPr>
          <w:trHeight w:val="75"/>
        </w:trPr>
        <w:tc>
          <w:tcPr>
            <w:tcW w:w="1912" w:type="dxa"/>
            <w:gridSpan w:val="2"/>
            <w:vMerge/>
            <w:tcMar>
              <w:left w:w="57" w:type="dxa"/>
              <w:right w:w="57" w:type="dxa"/>
            </w:tcMar>
            <w:vAlign w:val="center"/>
          </w:tcPr>
          <w:p w14:paraId="4B99056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EDC71C5"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2978A1CE"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p>
        </w:tc>
      </w:tr>
      <w:tr w:rsidR="0034518F" w:rsidRPr="0034518F" w14:paraId="301EE663" w14:textId="77777777" w:rsidTr="506FA200">
        <w:trPr>
          <w:trHeight w:val="75"/>
        </w:trPr>
        <w:tc>
          <w:tcPr>
            <w:tcW w:w="1912" w:type="dxa"/>
            <w:gridSpan w:val="2"/>
            <w:vMerge/>
            <w:tcMar>
              <w:left w:w="57" w:type="dxa"/>
              <w:right w:w="57" w:type="dxa"/>
            </w:tcMar>
            <w:vAlign w:val="center"/>
          </w:tcPr>
          <w:p w14:paraId="1299C43A"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CF541F"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(2010) </w:t>
            </w:r>
            <w:r w:rsidRPr="506FA200">
              <w:rPr>
                <w:rFonts w:ascii="Arial" w:eastAsia="Arial" w:hAnsi="Arial" w:cs="Arial"/>
                <w:i/>
                <w:iCs/>
                <w:color w:val="000000" w:themeColor="text1"/>
                <w:sz w:val="20"/>
                <w:szCs w:val="20"/>
              </w:rPr>
              <w:t>Regulacija, deregulacija i reregulacija u evoluciji financijskog sustava i kontinuitetu financijskih kriza</w:t>
            </w:r>
            <w:r w:rsidRPr="506FA200">
              <w:rPr>
                <w:rFonts w:ascii="Arial" w:eastAsia="Arial" w:hAnsi="Arial" w:cs="Arial"/>
                <w:color w:val="000000" w:themeColor="text1"/>
                <w:sz w:val="20"/>
                <w:szCs w:val="20"/>
              </w:rPr>
              <w:t xml:space="preserve"> poglavlje u Vidučić, Lj., Ivanov, M. i Pečarić, M. (ur.) Financije danas – dijagnoze i terapije, Split: Sveučilište u Splitu, Ekonomski fakultet &amp; Zagreb: Sveučilište u Zagrebu, Ekonomski fakultet, str.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9051B6" w:rsidRPr="0034518F" w:rsidRDefault="506FA200" w:rsidP="506FA200">
            <w:pPr>
              <w:tabs>
                <w:tab w:val="left" w:pos="633"/>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5005B540"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p>
        </w:tc>
      </w:tr>
      <w:tr w:rsidR="0034518F" w:rsidRPr="0034518F" w14:paraId="71B80EFD" w14:textId="77777777" w:rsidTr="506FA200">
        <w:trPr>
          <w:trHeight w:val="75"/>
        </w:trPr>
        <w:tc>
          <w:tcPr>
            <w:tcW w:w="1912" w:type="dxa"/>
            <w:gridSpan w:val="2"/>
            <w:vMerge/>
            <w:tcMar>
              <w:left w:w="57" w:type="dxa"/>
              <w:right w:w="57" w:type="dxa"/>
            </w:tcMar>
            <w:vAlign w:val="center"/>
          </w:tcPr>
          <w:p w14:paraId="4DDBEF00"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C347808"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Pojatina, D. (2000) </w:t>
            </w:r>
            <w:r w:rsidRPr="506FA200">
              <w:rPr>
                <w:rFonts w:ascii="Arial" w:eastAsia="Arial" w:hAnsi="Arial" w:cs="Arial"/>
                <w:i/>
                <w:iCs/>
                <w:color w:val="000000" w:themeColor="text1"/>
                <w:sz w:val="20"/>
                <w:szCs w:val="20"/>
              </w:rPr>
              <w:t>Tržište kapitala</w:t>
            </w:r>
            <w:r w:rsidRPr="506FA200">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5D0116D1"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789702A3" w14:textId="77777777" w:rsidR="009051B6" w:rsidRPr="007D6772" w:rsidRDefault="506FA200"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w:t>
            </w:r>
          </w:p>
        </w:tc>
      </w:tr>
      <w:tr w:rsidR="0034518F" w:rsidRPr="0034518F" w14:paraId="3229C121" w14:textId="77777777" w:rsidTr="506FA200">
        <w:trPr>
          <w:trHeight w:val="75"/>
        </w:trPr>
        <w:tc>
          <w:tcPr>
            <w:tcW w:w="1912" w:type="dxa"/>
            <w:gridSpan w:val="2"/>
            <w:vMerge/>
            <w:tcMar>
              <w:left w:w="57" w:type="dxa"/>
              <w:right w:w="57" w:type="dxa"/>
            </w:tcMar>
            <w:vAlign w:val="center"/>
          </w:tcPr>
          <w:p w14:paraId="3461D779"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77E1C89" w14:textId="79B3A9B0"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Medvidović, M. (2019) </w:t>
            </w:r>
            <w:r w:rsidRPr="506FA200">
              <w:rPr>
                <w:rFonts w:ascii="Arial" w:eastAsia="Arial" w:hAnsi="Arial" w:cs="Arial"/>
                <w:i/>
                <w:iCs/>
                <w:color w:val="000000" w:themeColor="text1"/>
                <w:sz w:val="20"/>
                <w:szCs w:val="20"/>
              </w:rPr>
              <w:t>Razum i osjećaji na financijskom tržištu: uspon bihevioralnih financija</w:t>
            </w:r>
            <w:r w:rsidRPr="506FA200">
              <w:rPr>
                <w:rFonts w:ascii="Arial" w:eastAsia="Arial" w:hAnsi="Arial" w:cs="Arial"/>
                <w:color w:val="000000" w:themeColor="text1"/>
                <w:sz w:val="20"/>
                <w:szCs w:val="20"/>
              </w:rPr>
              <w:t xml:space="preserve"> poglavlje u Rimac Smiljanić, A., Šimić Šarić, M. i Visković, J. (ur.) Financijska kretanja – najnoviji događaji i perspektive, Split: Sveučilište u Splitu, Ekonomski fakultet, str.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7DE37DB" w14:textId="12069B5D"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21185BF3" w14:textId="77777777" w:rsidTr="506FA200">
        <w:trPr>
          <w:trHeight w:val="75"/>
        </w:trPr>
        <w:tc>
          <w:tcPr>
            <w:tcW w:w="1912" w:type="dxa"/>
            <w:gridSpan w:val="2"/>
            <w:vMerge/>
            <w:tcMar>
              <w:left w:w="57" w:type="dxa"/>
              <w:right w:w="57" w:type="dxa"/>
            </w:tcMar>
            <w:vAlign w:val="center"/>
          </w:tcPr>
          <w:p w14:paraId="3CF2D8B6"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061F803" w14:textId="6004F136"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Ćurak, M., Kundid, A., Visković, J. (ur.) (2014) </w:t>
            </w:r>
            <w:r w:rsidRPr="506FA200">
              <w:rPr>
                <w:rFonts w:ascii="Arial" w:eastAsia="Arial" w:hAnsi="Arial" w:cs="Arial"/>
                <w:i/>
                <w:iCs/>
                <w:color w:val="000000" w:themeColor="text1"/>
                <w:sz w:val="20"/>
                <w:szCs w:val="20"/>
              </w:rPr>
              <w:t>Financije nakon krize: forenzika, etika, održivost</w:t>
            </w:r>
            <w:r w:rsidRPr="506FA200">
              <w:rPr>
                <w:rFonts w:ascii="Arial" w:eastAsia="Arial" w:hAnsi="Arial" w:cs="Arial"/>
                <w:color w:val="000000" w:themeColor="text1"/>
                <w:sz w:val="20"/>
                <w:szCs w:val="20"/>
              </w:rPr>
              <w:t>. Split: Ekonomski fakultet (izabrana poglavlja).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A3066B7" w14:textId="3E7A4C3F"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1242524E" w14:textId="77777777" w:rsidTr="506FA200">
        <w:trPr>
          <w:trHeight w:val="75"/>
        </w:trPr>
        <w:tc>
          <w:tcPr>
            <w:tcW w:w="1912" w:type="dxa"/>
            <w:gridSpan w:val="2"/>
            <w:vMerge/>
            <w:tcMar>
              <w:left w:w="57" w:type="dxa"/>
              <w:right w:w="57" w:type="dxa"/>
            </w:tcMar>
            <w:vAlign w:val="center"/>
          </w:tcPr>
          <w:p w14:paraId="0FB78278"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B9944DB"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Smaga, P. (2014) </w:t>
            </w:r>
            <w:r w:rsidRPr="506FA200">
              <w:rPr>
                <w:rFonts w:ascii="Arial" w:eastAsia="Arial" w:hAnsi="Arial" w:cs="Arial"/>
                <w:i/>
                <w:iCs/>
                <w:color w:val="000000" w:themeColor="text1"/>
                <w:sz w:val="20"/>
                <w:szCs w:val="20"/>
              </w:rPr>
              <w:t>The Concept of Systemic Risk</w:t>
            </w:r>
            <w:r w:rsidRPr="506FA200">
              <w:rPr>
                <w:rFonts w:ascii="Arial" w:eastAsia="Arial" w:hAnsi="Arial" w:cs="Arial"/>
                <w:color w:val="000000" w:themeColor="text1"/>
                <w:sz w:val="20"/>
                <w:szCs w:val="20"/>
              </w:rPr>
              <w:t>, The London School of Economics and Political Science, Systemic Risk Centre Special Paper,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EBCA809" w14:textId="4F3357BC"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18E48751" w14:textId="77777777" w:rsidTr="506FA200">
        <w:trPr>
          <w:trHeight w:val="75"/>
        </w:trPr>
        <w:tc>
          <w:tcPr>
            <w:tcW w:w="1912" w:type="dxa"/>
            <w:gridSpan w:val="2"/>
            <w:vMerge/>
            <w:tcMar>
              <w:left w:w="57" w:type="dxa"/>
              <w:right w:w="57" w:type="dxa"/>
            </w:tcMar>
            <w:vAlign w:val="center"/>
          </w:tcPr>
          <w:p w14:paraId="1FC3994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CC84BDA" w14:textId="33204120" w:rsidR="009051B6" w:rsidRPr="001E78C0" w:rsidRDefault="506FA200" w:rsidP="506FA200">
            <w:pPr>
              <w:numPr>
                <w:ilvl w:val="0"/>
                <w:numId w:val="5"/>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Rose, P. S., Hudgins, S. C. (2015) </w:t>
            </w:r>
            <w:r w:rsidRPr="001E78C0">
              <w:rPr>
                <w:rFonts w:ascii="Arial" w:eastAsia="Arial" w:hAnsi="Arial" w:cs="Arial"/>
                <w:i/>
                <w:iCs/>
                <w:sz w:val="20"/>
                <w:szCs w:val="20"/>
              </w:rPr>
              <w:t>Upravljanje bankama i financijske usluge</w:t>
            </w:r>
            <w:r w:rsidRPr="001E78C0">
              <w:rPr>
                <w:rFonts w:ascii="Arial" w:eastAsia="Arial" w:hAnsi="Arial" w:cs="Arial"/>
                <w:sz w:val="20"/>
                <w:szCs w:val="20"/>
              </w:rPr>
              <w:t xml:space="preserve">. Zagreb: MATE.  </w:t>
            </w:r>
          </w:p>
          <w:p w14:paraId="14815BE7" w14:textId="3CC03953" w:rsidR="009051B6" w:rsidRPr="001E78C0" w:rsidRDefault="506FA200" w:rsidP="506FA200">
            <w:pPr>
              <w:pStyle w:val="Odlomakpopisa"/>
              <w:numPr>
                <w:ilvl w:val="0"/>
                <w:numId w:val="5"/>
              </w:numPr>
              <w:spacing w:after="0" w:line="240" w:lineRule="auto"/>
              <w:jc w:val="both"/>
              <w:rPr>
                <w:rFonts w:ascii="Arial" w:eastAsia="Arial" w:hAnsi="Arial" w:cs="Arial"/>
                <w:sz w:val="20"/>
                <w:szCs w:val="20"/>
              </w:rPr>
            </w:pPr>
            <w:r w:rsidRPr="001E78C0">
              <w:rPr>
                <w:rFonts w:ascii="Arial" w:eastAsia="Arial" w:hAnsi="Arial" w:cs="Arial"/>
                <w:sz w:val="20"/>
                <w:szCs w:val="20"/>
              </w:rPr>
              <w:t xml:space="preserve">Rose, P. S., Hudgins, S. C. (2013) </w:t>
            </w:r>
            <w:r w:rsidRPr="001E78C0">
              <w:rPr>
                <w:rFonts w:ascii="Arial" w:eastAsia="Arial" w:hAnsi="Arial" w:cs="Arial"/>
                <w:i/>
                <w:iCs/>
                <w:sz w:val="20"/>
                <w:szCs w:val="20"/>
              </w:rPr>
              <w:t>Bank Management &amp; Financial Services</w:t>
            </w:r>
            <w:r w:rsidRPr="001E78C0">
              <w:rPr>
                <w:rFonts w:ascii="Arial" w:eastAsia="Arial" w:hAnsi="Arial" w:cs="Arial"/>
                <w:sz w:val="20"/>
                <w:szCs w:val="20"/>
              </w:rPr>
              <w:t>. USA: McGraw-Hill.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6B29A1D0" w14:textId="3C478025" w:rsidR="009051B6" w:rsidRPr="001E78C0" w:rsidRDefault="009051B6" w:rsidP="001E78C0">
            <w:pPr>
              <w:tabs>
                <w:tab w:val="left" w:pos="2820"/>
              </w:tabs>
              <w:spacing w:after="0" w:line="240" w:lineRule="auto"/>
              <w:rPr>
                <w:rFonts w:ascii="Arial" w:eastAsia="Arial" w:hAnsi="Arial" w:cs="Arial"/>
                <w:strike/>
                <w:sz w:val="20"/>
                <w:szCs w:val="20"/>
              </w:rPr>
            </w:pPr>
          </w:p>
          <w:p w14:paraId="5BF7F1CC" w14:textId="6C71F37E" w:rsidR="009051B6" w:rsidRPr="001E78C0" w:rsidRDefault="009051B6" w:rsidP="506FA200">
            <w:pPr>
              <w:tabs>
                <w:tab w:val="left" w:pos="2820"/>
              </w:tabs>
              <w:spacing w:after="0" w:line="240" w:lineRule="auto"/>
              <w:jc w:val="center"/>
              <w:rPr>
                <w:rFonts w:ascii="Arial" w:eastAsia="Arial" w:hAnsi="Arial" w:cs="Arial"/>
                <w:sz w:val="20"/>
                <w:szCs w:val="20"/>
              </w:rPr>
            </w:pPr>
          </w:p>
          <w:p w14:paraId="1B87E3DE" w14:textId="30BBC3FF" w:rsidR="009051B6" w:rsidRPr="001E78C0" w:rsidRDefault="506FA200" w:rsidP="506FA200">
            <w:pPr>
              <w:tabs>
                <w:tab w:val="left" w:pos="2820"/>
              </w:tabs>
              <w:spacing w:after="0" w:line="240" w:lineRule="auto"/>
              <w:jc w:val="center"/>
              <w:rPr>
                <w:rFonts w:ascii="Arial" w:eastAsia="Arial" w:hAnsi="Arial" w:cs="Arial"/>
                <w:sz w:val="20"/>
                <w:szCs w:val="20"/>
              </w:rPr>
            </w:pPr>
            <w:r w:rsidRPr="001E78C0">
              <w:rPr>
                <w:rFonts w:ascii="Arial" w:eastAsia="Arial" w:hAnsi="Arial" w:cs="Arial"/>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A2F4739" w14:textId="0E91F300" w:rsidR="009051B6" w:rsidRPr="007D6772" w:rsidRDefault="009051B6" w:rsidP="506FA200">
            <w:pPr>
              <w:tabs>
                <w:tab w:val="left" w:pos="2820"/>
              </w:tabs>
              <w:spacing w:after="0" w:line="240" w:lineRule="auto"/>
              <w:jc w:val="center"/>
              <w:rPr>
                <w:rFonts w:ascii="Arial" w:eastAsia="Arial" w:hAnsi="Arial" w:cs="Arial"/>
                <w:color w:val="FF0000"/>
                <w:sz w:val="20"/>
                <w:szCs w:val="20"/>
              </w:rPr>
            </w:pPr>
          </w:p>
          <w:p w14:paraId="46C44B38" w14:textId="77777777" w:rsidR="001E78C0" w:rsidRPr="007D6772" w:rsidRDefault="001E78C0" w:rsidP="506FA200">
            <w:pPr>
              <w:tabs>
                <w:tab w:val="left" w:pos="2820"/>
              </w:tabs>
              <w:spacing w:after="0" w:line="240" w:lineRule="auto"/>
              <w:jc w:val="center"/>
              <w:rPr>
                <w:rFonts w:ascii="Arial" w:eastAsia="Arial" w:hAnsi="Arial" w:cs="Arial"/>
                <w:color w:val="FF0000"/>
                <w:sz w:val="20"/>
                <w:szCs w:val="20"/>
              </w:rPr>
            </w:pPr>
          </w:p>
          <w:p w14:paraId="4F64F08B" w14:textId="1E0BD3AD" w:rsidR="009051B6" w:rsidRPr="007D6772" w:rsidRDefault="506FA200"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w:t>
            </w:r>
          </w:p>
        </w:tc>
      </w:tr>
      <w:tr w:rsidR="0034518F" w:rsidRPr="0034518F" w14:paraId="33E15CF7" w14:textId="77777777" w:rsidTr="506FA200">
        <w:trPr>
          <w:trHeight w:val="75"/>
        </w:trPr>
        <w:tc>
          <w:tcPr>
            <w:tcW w:w="1912" w:type="dxa"/>
            <w:gridSpan w:val="2"/>
            <w:vMerge/>
            <w:tcMar>
              <w:left w:w="57" w:type="dxa"/>
              <w:right w:w="57" w:type="dxa"/>
            </w:tcMar>
            <w:vAlign w:val="center"/>
          </w:tcPr>
          <w:p w14:paraId="0562CB0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3C6C48D" w14:textId="77777777"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(2012) </w:t>
            </w:r>
            <w:r w:rsidRPr="506FA200">
              <w:rPr>
                <w:rFonts w:ascii="Arial" w:eastAsia="Arial" w:hAnsi="Arial" w:cs="Arial"/>
                <w:i/>
                <w:iCs/>
                <w:color w:val="000000" w:themeColor="text1"/>
                <w:sz w:val="20"/>
                <w:szCs w:val="20"/>
              </w:rPr>
              <w:t>Mala poduzeća, velike banke i nepremostive razlike u kreditnom odnosu: istina, mit ili izazov?</w:t>
            </w:r>
            <w:r w:rsidRPr="506FA200">
              <w:rPr>
                <w:rFonts w:ascii="Arial" w:eastAsia="Arial" w:hAnsi="Arial" w:cs="Arial"/>
                <w:color w:val="000000" w:themeColor="text1"/>
                <w:sz w:val="20"/>
                <w:szCs w:val="20"/>
              </w:rPr>
              <w:t xml:space="preserve"> poglavlje u Vidučić, Lj. (ur.) Mala i srednja poduzeća – Financijska politika i ekonomsko – financijski okvir podrške, Split: Sveučilište u Splitu, Ekonomski fakultet, str.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5E0DDFE" w14:textId="6698B5F7"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0A2765DC" w14:textId="77777777" w:rsidTr="506FA200">
        <w:trPr>
          <w:trHeight w:val="75"/>
        </w:trPr>
        <w:tc>
          <w:tcPr>
            <w:tcW w:w="1912" w:type="dxa"/>
            <w:gridSpan w:val="2"/>
            <w:vMerge/>
            <w:tcMar>
              <w:left w:w="57" w:type="dxa"/>
              <w:right w:w="57" w:type="dxa"/>
            </w:tcMar>
            <w:vAlign w:val="center"/>
          </w:tcPr>
          <w:p w14:paraId="34CE0A41"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5BD0F93" w14:textId="5DD21D9A" w:rsidR="009051B6" w:rsidRPr="0034518F" w:rsidRDefault="506FA200" w:rsidP="506FA200">
            <w:pPr>
              <w:pStyle w:val="Odlomakpopisa"/>
              <w:numPr>
                <w:ilvl w:val="0"/>
                <w:numId w:val="5"/>
              </w:numPr>
              <w:spacing w:after="0" w:line="240" w:lineRule="auto"/>
              <w:ind w:left="357" w:hanging="357"/>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Ercegovac, R. (2011) </w:t>
            </w:r>
            <w:r w:rsidRPr="506FA200">
              <w:rPr>
                <w:rFonts w:ascii="Arial" w:eastAsia="Arial" w:hAnsi="Arial" w:cs="Arial"/>
                <w:i/>
                <w:iCs/>
                <w:color w:val="000000" w:themeColor="text1"/>
                <w:sz w:val="20"/>
                <w:szCs w:val="20"/>
              </w:rPr>
              <w:t>Credit Rationing in Financial Distress: Croatia SMEs' Finance Approach</w:t>
            </w:r>
            <w:r w:rsidRPr="506FA200">
              <w:rPr>
                <w:rFonts w:ascii="Arial" w:eastAsia="Arial" w:hAnsi="Arial" w:cs="Arial"/>
                <w:color w:val="000000" w:themeColor="text1"/>
                <w:sz w:val="20"/>
                <w:szCs w:val="20"/>
              </w:rPr>
              <w:t>, International Journal of Law and Management,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084026FA"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p>
        </w:tc>
      </w:tr>
      <w:tr w:rsidR="0034518F" w:rsidRPr="0034518F" w14:paraId="03F8271A" w14:textId="77777777" w:rsidTr="506FA200">
        <w:trPr>
          <w:trHeight w:val="75"/>
        </w:trPr>
        <w:tc>
          <w:tcPr>
            <w:tcW w:w="1912" w:type="dxa"/>
            <w:gridSpan w:val="2"/>
            <w:vMerge/>
            <w:tcMar>
              <w:left w:w="57" w:type="dxa"/>
              <w:right w:w="57" w:type="dxa"/>
            </w:tcMar>
            <w:vAlign w:val="center"/>
          </w:tcPr>
          <w:p w14:paraId="62EBF3C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06A533B" w14:textId="77777777"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(2015) </w:t>
            </w:r>
            <w:r w:rsidRPr="506FA200">
              <w:rPr>
                <w:rFonts w:ascii="Arial" w:eastAsia="Arial" w:hAnsi="Arial" w:cs="Arial"/>
                <w:i/>
                <w:iCs/>
                <w:color w:val="000000" w:themeColor="text1"/>
                <w:sz w:val="20"/>
                <w:szCs w:val="20"/>
              </w:rPr>
              <w:t>Kontroverze regulacije banaka kroz kapitalne zahtjeve</w:t>
            </w:r>
            <w:r w:rsidRPr="506FA200">
              <w:rPr>
                <w:rFonts w:ascii="Arial" w:eastAsia="Arial" w:hAnsi="Arial" w:cs="Arial"/>
                <w:color w:val="000000" w:themeColor="text1"/>
                <w:sz w:val="20"/>
                <w:szCs w:val="20"/>
              </w:rPr>
              <w:t>, Ekonomski pregled,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0F02466" w14:textId="58AC8488"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134B21A3" w14:textId="77777777" w:rsidTr="506FA200">
        <w:trPr>
          <w:trHeight w:val="75"/>
        </w:trPr>
        <w:tc>
          <w:tcPr>
            <w:tcW w:w="1912" w:type="dxa"/>
            <w:gridSpan w:val="2"/>
            <w:vMerge/>
            <w:tcMar>
              <w:left w:w="57" w:type="dxa"/>
              <w:right w:w="57" w:type="dxa"/>
            </w:tcMar>
            <w:vAlign w:val="center"/>
          </w:tcPr>
          <w:p w14:paraId="6D98A12B"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4CDAB9C" w14:textId="3A2B4A7F"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Kundid, A., Ercegovac, R. (2011)</w:t>
            </w:r>
            <w:r w:rsidRPr="506FA200">
              <w:rPr>
                <w:rFonts w:ascii="Arial" w:eastAsia="Arial" w:hAnsi="Arial" w:cs="Arial"/>
                <w:i/>
                <w:iCs/>
                <w:color w:val="000000" w:themeColor="text1"/>
                <w:sz w:val="20"/>
                <w:szCs w:val="20"/>
              </w:rPr>
              <w:t xml:space="preserve"> Liquidity Risk Management Paradox in Contemporary Banking (Re)regulation</w:t>
            </w:r>
            <w:r w:rsidRPr="506FA200">
              <w:rPr>
                <w:rFonts w:ascii="Arial" w:eastAsia="Arial" w:hAnsi="Arial" w:cs="Arial"/>
                <w:color w:val="000000" w:themeColor="text1"/>
                <w:sz w:val="20"/>
                <w:szCs w:val="20"/>
              </w:rPr>
              <w:t>, Global Business &amp; Economics Anthology, Volume II, Issue 2, December, Business &amp; Economics Society International, Worcester, MA, USA, str.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0F47AB54"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p>
        </w:tc>
      </w:tr>
      <w:tr w:rsidR="0034518F" w:rsidRPr="0034518F" w14:paraId="2C05C4D1" w14:textId="77777777" w:rsidTr="506FA200">
        <w:trPr>
          <w:trHeight w:val="75"/>
        </w:trPr>
        <w:tc>
          <w:tcPr>
            <w:tcW w:w="1912" w:type="dxa"/>
            <w:gridSpan w:val="2"/>
            <w:vMerge/>
            <w:tcMar>
              <w:left w:w="57" w:type="dxa"/>
              <w:right w:w="57" w:type="dxa"/>
            </w:tcMar>
            <w:vAlign w:val="center"/>
          </w:tcPr>
          <w:p w14:paraId="2946DB82"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3DAD55E"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(2019) </w:t>
            </w:r>
            <w:r w:rsidRPr="506FA200">
              <w:rPr>
                <w:rFonts w:ascii="Arial" w:eastAsia="Arial" w:hAnsi="Arial" w:cs="Arial"/>
                <w:i/>
                <w:iCs/>
                <w:color w:val="000000" w:themeColor="text1"/>
                <w:sz w:val="20"/>
                <w:szCs w:val="20"/>
              </w:rPr>
              <w:t>Zdravlje bankarskog sektora</w:t>
            </w:r>
            <w:r w:rsidRPr="506FA200">
              <w:rPr>
                <w:rFonts w:ascii="Arial" w:eastAsia="Arial" w:hAnsi="Arial" w:cs="Arial"/>
                <w:color w:val="000000" w:themeColor="text1"/>
                <w:sz w:val="20"/>
                <w:szCs w:val="20"/>
              </w:rPr>
              <w:t>, poglavlje u Rimac Smiljanić, A., Šimić Šarić, M. i Visković, J. (ur.) Financijska kretanja – najnoviji događaji i perspektive, Split: Sveučilište u Splitu, Ekonomski fakultet, str.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BA1C6A" w14:textId="23595887"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r w:rsidR="506FA200" w:rsidRPr="007D6772">
              <w:rPr>
                <w:rFonts w:ascii="Arial" w:eastAsia="Arial" w:hAnsi="Arial" w:cs="Arial"/>
                <w:color w:val="FF0000"/>
                <w:sz w:val="20"/>
                <w:szCs w:val="20"/>
              </w:rPr>
              <w:t>/Internet</w:t>
            </w:r>
          </w:p>
        </w:tc>
      </w:tr>
      <w:tr w:rsidR="0034518F" w:rsidRPr="0034518F" w14:paraId="7A9AC9FA" w14:textId="77777777" w:rsidTr="506FA200">
        <w:trPr>
          <w:trHeight w:val="75"/>
        </w:trPr>
        <w:tc>
          <w:tcPr>
            <w:tcW w:w="1912" w:type="dxa"/>
            <w:gridSpan w:val="2"/>
            <w:vMerge/>
            <w:tcMar>
              <w:left w:w="57" w:type="dxa"/>
              <w:right w:w="57" w:type="dxa"/>
            </w:tcMar>
            <w:vAlign w:val="center"/>
          </w:tcPr>
          <w:p w14:paraId="5997CC1D"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8A1A404"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4EF1D05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1A84136F" w14:textId="14D5ECDB" w:rsidR="009051B6" w:rsidRPr="007D6772" w:rsidRDefault="00E154A7" w:rsidP="506FA200">
            <w:pPr>
              <w:tabs>
                <w:tab w:val="left" w:pos="2820"/>
              </w:tabs>
              <w:spacing w:after="0" w:line="240" w:lineRule="auto"/>
              <w:jc w:val="center"/>
              <w:rPr>
                <w:rFonts w:ascii="Arial" w:eastAsia="Arial" w:hAnsi="Arial" w:cs="Arial"/>
                <w:color w:val="FF0000"/>
                <w:sz w:val="20"/>
                <w:szCs w:val="20"/>
              </w:rPr>
            </w:pPr>
            <w:r w:rsidRPr="007D6772">
              <w:rPr>
                <w:rFonts w:ascii="Arial" w:eastAsia="Arial" w:hAnsi="Arial" w:cs="Arial"/>
                <w:color w:val="FF0000"/>
                <w:sz w:val="20"/>
                <w:szCs w:val="20"/>
              </w:rPr>
              <w:t>Merlin</w:t>
            </w:r>
          </w:p>
        </w:tc>
      </w:tr>
      <w:tr w:rsidR="0034518F" w:rsidRPr="0034518F" w14:paraId="1DB846C9"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9051B6" w:rsidRPr="00F36D32" w:rsidRDefault="009051B6" w:rsidP="009051B6">
            <w:pPr>
              <w:tabs>
                <w:tab w:val="left" w:pos="567"/>
              </w:tabs>
              <w:spacing w:after="0" w:line="240" w:lineRule="auto"/>
              <w:rPr>
                <w:rFonts w:ascii="Arial" w:hAnsi="Arial" w:cs="Arial"/>
                <w:sz w:val="20"/>
                <w:szCs w:val="20"/>
              </w:rPr>
            </w:pPr>
            <w:r w:rsidRPr="00F36D32">
              <w:rPr>
                <w:rFonts w:ascii="Arial" w:hAnsi="Arial" w:cs="Arial"/>
                <w:sz w:val="20"/>
                <w:szCs w:val="20"/>
              </w:rPr>
              <w:t xml:space="preserve">Dopunska literatura </w:t>
            </w:r>
          </w:p>
          <w:p w14:paraId="110FFD37" w14:textId="77777777" w:rsidR="009051B6" w:rsidRPr="00F36D32" w:rsidRDefault="009051B6" w:rsidP="009051B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1F028510" w14:textId="5E7439C7" w:rsidR="009051B6"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Stiglitz, J. E., Weiss, A. (1981) </w:t>
            </w:r>
            <w:r w:rsidRPr="001E78C0">
              <w:rPr>
                <w:rFonts w:ascii="Arial" w:eastAsia="Arial" w:hAnsi="Arial" w:cs="Arial"/>
                <w:i/>
                <w:iCs/>
                <w:sz w:val="20"/>
                <w:szCs w:val="20"/>
              </w:rPr>
              <w:t>Credit Rationing in Market with Imperfect Information</w:t>
            </w:r>
            <w:r w:rsidRPr="001E78C0">
              <w:rPr>
                <w:rFonts w:ascii="Arial" w:eastAsia="Arial" w:hAnsi="Arial" w:cs="Arial"/>
                <w:sz w:val="20"/>
                <w:szCs w:val="20"/>
              </w:rPr>
              <w:t>, The American Economic Review, Vol. 71, No. 3, str. 393 – 410.</w:t>
            </w:r>
          </w:p>
          <w:p w14:paraId="5759AD72" w14:textId="26E49E36" w:rsidR="762DFE2B"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Ayadi, R., Cucinelli, D., de Groen, W. P. (2019) </w:t>
            </w:r>
            <w:r w:rsidRPr="001E78C0">
              <w:rPr>
                <w:rFonts w:ascii="Arial" w:eastAsia="Arial" w:hAnsi="Arial" w:cs="Arial"/>
                <w:i/>
                <w:iCs/>
                <w:sz w:val="20"/>
                <w:szCs w:val="20"/>
              </w:rPr>
              <w:t>Banking Business Models Monitor – Europe: Performance, Risk, Response to Regulation and Resolution: 2005-2017</w:t>
            </w:r>
            <w:r w:rsidRPr="001E78C0">
              <w:rPr>
                <w:rFonts w:ascii="Arial" w:eastAsia="Arial" w:hAnsi="Arial" w:cs="Arial"/>
                <w:sz w:val="20"/>
                <w:szCs w:val="20"/>
              </w:rPr>
              <w:t xml:space="preserve">. Cass Business School. https://www.ceps.eu/ceps-publications/banking-business-models-monitor-2019-europe/  </w:t>
            </w:r>
          </w:p>
          <w:p w14:paraId="35C1313F" w14:textId="6885648F" w:rsidR="762DFE2B" w:rsidRPr="001E78C0" w:rsidRDefault="506FA200" w:rsidP="506FA200">
            <w:pPr>
              <w:pStyle w:val="Odlomakpopisa"/>
              <w:numPr>
                <w:ilvl w:val="0"/>
                <w:numId w:val="1"/>
              </w:numPr>
              <w:spacing w:after="0" w:line="240" w:lineRule="auto"/>
              <w:jc w:val="both"/>
              <w:rPr>
                <w:rFonts w:ascii="Arial" w:eastAsia="Arial" w:hAnsi="Arial" w:cs="Arial"/>
                <w:sz w:val="20"/>
                <w:szCs w:val="20"/>
              </w:rPr>
            </w:pPr>
            <w:r w:rsidRPr="001E78C0">
              <w:rPr>
                <w:rFonts w:ascii="Arial" w:eastAsia="Arial" w:hAnsi="Arial" w:cs="Arial"/>
                <w:sz w:val="20"/>
                <w:szCs w:val="20"/>
              </w:rPr>
              <w:t xml:space="preserve">Kjellman, A., Kangas, T., Tainio, R. (2021) </w:t>
            </w:r>
            <w:r w:rsidRPr="001E78C0">
              <w:rPr>
                <w:rFonts w:ascii="Arial" w:eastAsia="Arial" w:hAnsi="Arial" w:cs="Arial"/>
                <w:i/>
                <w:iCs/>
                <w:sz w:val="20"/>
                <w:szCs w:val="20"/>
              </w:rPr>
              <w:t>Nuclear Finance: Bank Management in Disruption</w:t>
            </w:r>
            <w:r w:rsidRPr="001E78C0">
              <w:rPr>
                <w:rFonts w:ascii="Arial" w:eastAsia="Arial" w:hAnsi="Arial" w:cs="Arial"/>
                <w:sz w:val="20"/>
                <w:szCs w:val="20"/>
              </w:rPr>
              <w:t xml:space="preserve">. Novum pro. </w:t>
            </w:r>
          </w:p>
          <w:p w14:paraId="7E815043" w14:textId="47B51B21" w:rsidR="762DFE2B" w:rsidRPr="001E78C0" w:rsidRDefault="506FA200" w:rsidP="506FA200">
            <w:pPr>
              <w:pStyle w:val="Odlomakpopisa"/>
              <w:numPr>
                <w:ilvl w:val="0"/>
                <w:numId w:val="1"/>
              </w:numPr>
              <w:spacing w:after="0" w:line="240" w:lineRule="auto"/>
              <w:jc w:val="both"/>
              <w:rPr>
                <w:rFonts w:ascii="Arial" w:eastAsia="Arial" w:hAnsi="Arial" w:cs="Arial"/>
                <w:sz w:val="20"/>
                <w:szCs w:val="20"/>
              </w:rPr>
            </w:pPr>
            <w:r w:rsidRPr="001E78C0">
              <w:rPr>
                <w:rFonts w:ascii="Arial" w:eastAsia="Arial" w:hAnsi="Arial" w:cs="Arial"/>
                <w:sz w:val="20"/>
                <w:szCs w:val="20"/>
              </w:rPr>
              <w:t xml:space="preserve">Saunders, A., Millon Cornett, M., Erhemjamts, O. (2020) </w:t>
            </w:r>
            <w:r w:rsidRPr="001E78C0">
              <w:rPr>
                <w:rFonts w:ascii="Arial" w:eastAsia="Arial" w:hAnsi="Arial" w:cs="Arial"/>
                <w:i/>
                <w:iCs/>
                <w:sz w:val="20"/>
                <w:szCs w:val="20"/>
              </w:rPr>
              <w:t xml:space="preserve">Financial Institutions Management: A Risk Management Approach. </w:t>
            </w:r>
            <w:r w:rsidRPr="001E78C0">
              <w:rPr>
                <w:rFonts w:ascii="Arial" w:eastAsia="Arial" w:hAnsi="Arial" w:cs="Arial"/>
                <w:sz w:val="20"/>
                <w:szCs w:val="20"/>
              </w:rPr>
              <w:t>McGraw-Hill Education.</w:t>
            </w:r>
          </w:p>
          <w:p w14:paraId="0ABEE009" w14:textId="26154F54" w:rsidR="007F6929"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Kundid Novokmet, A. (2021) </w:t>
            </w:r>
            <w:r w:rsidRPr="001E78C0">
              <w:rPr>
                <w:rFonts w:ascii="Arial" w:eastAsia="Arial" w:hAnsi="Arial" w:cs="Arial"/>
                <w:i/>
                <w:iCs/>
                <w:sz w:val="20"/>
                <w:szCs w:val="20"/>
              </w:rPr>
              <w:t>Troubles with the Chf Loans in Croatia: The Story of a Case Still Waiting to Be Closed</w:t>
            </w:r>
            <w:r w:rsidRPr="001E78C0">
              <w:rPr>
                <w:rFonts w:ascii="Arial" w:eastAsia="Arial" w:hAnsi="Arial" w:cs="Arial"/>
                <w:sz w:val="20"/>
                <w:szCs w:val="20"/>
              </w:rPr>
              <w:t>, Journal of Risk and Financial Management 14(2), 75.</w:t>
            </w:r>
          </w:p>
          <w:p w14:paraId="62489E3A" w14:textId="3497392C" w:rsidR="007F6929"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Kundid Novokmet, A., Matković, M. (2020) </w:t>
            </w:r>
            <w:r w:rsidRPr="001E78C0">
              <w:rPr>
                <w:rFonts w:ascii="Arial" w:eastAsia="Arial" w:hAnsi="Arial" w:cs="Arial"/>
                <w:i/>
                <w:iCs/>
                <w:sz w:val="20"/>
                <w:szCs w:val="20"/>
              </w:rPr>
              <w:t>Anticipating a Reverse Mortgage Adoption in Croatia</w:t>
            </w:r>
            <w:r w:rsidRPr="001E78C0">
              <w:rPr>
                <w:rFonts w:ascii="Arial" w:eastAsia="Arial" w:hAnsi="Arial" w:cs="Arial"/>
                <w:sz w:val="20"/>
                <w:szCs w:val="20"/>
              </w:rPr>
              <w:t>, Studies in Business and Economics, Vol. 15, No. 3, str. 132-151.</w:t>
            </w:r>
          </w:p>
          <w:p w14:paraId="5EA47778" w14:textId="74EBAC4E" w:rsidR="009051B6"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Kundid Novokmet, A., Vasić, A. (2021) </w:t>
            </w:r>
            <w:r w:rsidRPr="001E78C0">
              <w:rPr>
                <w:rFonts w:ascii="Arial" w:eastAsia="Arial" w:hAnsi="Arial" w:cs="Arial"/>
                <w:i/>
                <w:iCs/>
                <w:sz w:val="20"/>
                <w:szCs w:val="20"/>
              </w:rPr>
              <w:t>Kapitalni zahtjevi kao ključna odrednica kreditnog rasta: dokazi za Hrvatsku</w:t>
            </w:r>
            <w:r w:rsidRPr="001E78C0">
              <w:rPr>
                <w:rFonts w:ascii="Arial" w:eastAsia="Arial" w:hAnsi="Arial" w:cs="Arial"/>
                <w:sz w:val="20"/>
                <w:szCs w:val="20"/>
              </w:rPr>
              <w:t>, poglavlje u Družić, G., Šimurina, N. (ur.) Zbornik radova sa znanstvenog skupa "Financije u svijetu punom izazova“, Zagreb: Hrvatska akademija znanosti i umjetnosti, Sveučilište u Zagrebu, Ekonomski fakultet, str. 137-160.</w:t>
            </w:r>
          </w:p>
          <w:p w14:paraId="47970C80" w14:textId="7027B30D" w:rsidR="009051B6"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lastRenderedPageBreak/>
              <w:t xml:space="preserve">Kundid Novokmet, A. (2021) </w:t>
            </w:r>
            <w:r w:rsidRPr="001E78C0">
              <w:rPr>
                <w:rFonts w:ascii="Arial" w:eastAsia="Arial" w:hAnsi="Arial" w:cs="Arial"/>
                <w:i/>
                <w:iCs/>
                <w:sz w:val="20"/>
                <w:szCs w:val="20"/>
              </w:rPr>
              <w:t>Do Capital Buffers add to Bank Risk-Taking in South-Eastern Europe? A Look at the Pre-Basel III Period</w:t>
            </w:r>
            <w:r w:rsidRPr="001E78C0">
              <w:rPr>
                <w:rFonts w:ascii="Arial" w:eastAsia="Arial" w:hAnsi="Arial" w:cs="Arial"/>
                <w:sz w:val="20"/>
                <w:szCs w:val="20"/>
              </w:rPr>
              <w:t>, poglavlje u The Changing Financial Landscape: Financial Performance Analysis of Real and Banking Sectors in Europe (ur. Karanović, G., Polychronidou, P. i Karasavvoglou, A.), Springer, str. 141-169.</w:t>
            </w:r>
          </w:p>
          <w:p w14:paraId="2D4EE12F" w14:textId="41C8A810" w:rsidR="009051B6" w:rsidRPr="001E78C0" w:rsidRDefault="506FA200" w:rsidP="506FA200">
            <w:pPr>
              <w:pStyle w:val="Odlomakpopisa"/>
              <w:numPr>
                <w:ilvl w:val="0"/>
                <w:numId w:val="1"/>
              </w:numPr>
              <w:tabs>
                <w:tab w:val="left" w:pos="2820"/>
              </w:tabs>
              <w:spacing w:after="0" w:line="240" w:lineRule="auto"/>
              <w:jc w:val="both"/>
              <w:rPr>
                <w:rFonts w:ascii="Arial" w:eastAsia="Arial" w:hAnsi="Arial" w:cs="Arial"/>
                <w:sz w:val="20"/>
                <w:szCs w:val="20"/>
              </w:rPr>
            </w:pPr>
            <w:r w:rsidRPr="001E78C0">
              <w:rPr>
                <w:rFonts w:ascii="Arial" w:eastAsia="Arial" w:hAnsi="Arial" w:cs="Arial"/>
                <w:sz w:val="20"/>
                <w:szCs w:val="20"/>
              </w:rPr>
              <w:t xml:space="preserve">Busch, D., Ferrarini, G., Grünewald, S. (2021) </w:t>
            </w:r>
            <w:r w:rsidRPr="001E78C0">
              <w:rPr>
                <w:rFonts w:ascii="Arial" w:eastAsia="Arial" w:hAnsi="Arial" w:cs="Arial"/>
                <w:i/>
                <w:iCs/>
                <w:sz w:val="20"/>
                <w:szCs w:val="20"/>
              </w:rPr>
              <w:t>Sustainable Finance in Europe: Corporate Governance, Financial Stability and Financial Markets.</w:t>
            </w:r>
            <w:r w:rsidRPr="001E78C0">
              <w:rPr>
                <w:rFonts w:ascii="Arial" w:eastAsia="Arial" w:hAnsi="Arial" w:cs="Arial"/>
                <w:sz w:val="20"/>
                <w:szCs w:val="20"/>
              </w:rPr>
              <w:t xml:space="preserve"> Palgrave Macmillan.</w:t>
            </w:r>
          </w:p>
          <w:p w14:paraId="217F72CF" w14:textId="5186BD8D"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001E78C0">
              <w:rPr>
                <w:rFonts w:ascii="Arial" w:eastAsia="Arial" w:hAnsi="Arial" w:cs="Arial"/>
                <w:sz w:val="20"/>
                <w:szCs w:val="20"/>
              </w:rPr>
              <w:t>Službena web stranica Hrvatske narodne banke.</w:t>
            </w:r>
          </w:p>
        </w:tc>
      </w:tr>
      <w:tr w:rsidR="0034518F" w:rsidRPr="0034518F" w14:paraId="53F4421D" w14:textId="77777777" w:rsidTr="506FA200">
        <w:tc>
          <w:tcPr>
            <w:tcW w:w="1912" w:type="dxa"/>
            <w:gridSpan w:val="2"/>
            <w:tcBorders>
              <w:left w:val="single" w:sz="12" w:space="0" w:color="auto"/>
            </w:tcBorders>
            <w:shd w:val="clear" w:color="auto" w:fill="CCFFFF"/>
            <w:tcMar>
              <w:left w:w="57" w:type="dxa"/>
              <w:right w:w="57" w:type="dxa"/>
            </w:tcMar>
            <w:vAlign w:val="center"/>
          </w:tcPr>
          <w:p w14:paraId="48A7BC5B"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Praćenje pohađanja nastave i uspješnosti izvršenja ostalih obveza studenata (nastavnik)</w:t>
            </w:r>
          </w:p>
          <w:p w14:paraId="569DC443" w14:textId="17B54E3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Nadzor izvođenja nastave (</w:t>
            </w:r>
            <w:r w:rsidR="00065707" w:rsidRPr="00477712">
              <w:rPr>
                <w:rFonts w:ascii="Arial" w:hAnsi="Arial" w:cs="Arial"/>
                <w:bCs/>
                <w:color w:val="000000" w:themeColor="text1"/>
                <w:sz w:val="20"/>
                <w:szCs w:val="20"/>
              </w:rPr>
              <w:t>prodekan za nastavu</w:t>
            </w:r>
            <w:r w:rsidR="00065707">
              <w:rPr>
                <w:rFonts w:ascii="Arial" w:hAnsi="Arial" w:cs="Arial"/>
                <w:bCs/>
                <w:color w:val="000000" w:themeColor="text1"/>
                <w:sz w:val="20"/>
                <w:szCs w:val="20"/>
              </w:rPr>
              <w:t xml:space="preserve"> i studentska pitanja</w:t>
            </w:r>
            <w:r w:rsidRPr="0034518F">
              <w:rPr>
                <w:rFonts w:ascii="Arial" w:hAnsi="Arial" w:cs="Arial"/>
                <w:bCs/>
                <w:color w:val="000000" w:themeColor="text1"/>
                <w:sz w:val="20"/>
                <w:szCs w:val="20"/>
              </w:rPr>
              <w:t>)</w:t>
            </w:r>
          </w:p>
          <w:p w14:paraId="138D1BD8" w14:textId="4CC54469"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Analiza uspješnosti studiranja po svim predmetima studija (</w:t>
            </w:r>
            <w:r w:rsidR="00AB4011" w:rsidRPr="00477712">
              <w:rPr>
                <w:rFonts w:ascii="Arial" w:hAnsi="Arial" w:cs="Arial"/>
                <w:bCs/>
                <w:color w:val="000000" w:themeColor="text1"/>
                <w:sz w:val="20"/>
                <w:szCs w:val="20"/>
              </w:rPr>
              <w:t>prodekan za nastavu</w:t>
            </w:r>
            <w:r w:rsidR="00AB4011">
              <w:rPr>
                <w:rFonts w:ascii="Arial" w:hAnsi="Arial" w:cs="Arial"/>
                <w:bCs/>
                <w:color w:val="000000" w:themeColor="text1"/>
                <w:sz w:val="20"/>
                <w:szCs w:val="20"/>
              </w:rPr>
              <w:t xml:space="preserve"> i studentska pitanja</w:t>
            </w:r>
            <w:bookmarkStart w:id="0" w:name="_GoBack"/>
            <w:bookmarkEnd w:id="0"/>
            <w:r w:rsidRPr="0034518F">
              <w:rPr>
                <w:rFonts w:ascii="Arial" w:hAnsi="Arial" w:cs="Arial"/>
                <w:bCs/>
                <w:color w:val="000000" w:themeColor="text1"/>
                <w:sz w:val="20"/>
                <w:szCs w:val="20"/>
              </w:rPr>
              <w:t>)</w:t>
            </w:r>
          </w:p>
          <w:p w14:paraId="53CC1AE0" w14:textId="0F5DC53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Stu</w:t>
            </w:r>
            <w:r w:rsidR="00065707" w:rsidRPr="00477712">
              <w:rPr>
                <w:rFonts w:ascii="Arial" w:hAnsi="Arial" w:cs="Arial"/>
                <w:bCs/>
                <w:color w:val="000000" w:themeColor="text1"/>
                <w:sz w:val="20"/>
                <w:szCs w:val="20"/>
              </w:rPr>
              <w:t xml:space="preserve"> prodekan za nastavu</w:t>
            </w:r>
            <w:r w:rsidR="00065707">
              <w:rPr>
                <w:rFonts w:ascii="Arial" w:hAnsi="Arial" w:cs="Arial"/>
                <w:bCs/>
                <w:color w:val="000000" w:themeColor="text1"/>
                <w:sz w:val="20"/>
                <w:szCs w:val="20"/>
              </w:rPr>
              <w:t xml:space="preserve"> i studentska pitanja</w:t>
            </w:r>
            <w:r w:rsidR="00065707" w:rsidRPr="0034518F">
              <w:rPr>
                <w:rFonts w:ascii="Arial" w:hAnsi="Arial" w:cs="Arial"/>
                <w:bCs/>
                <w:color w:val="000000" w:themeColor="text1"/>
                <w:sz w:val="20"/>
                <w:szCs w:val="20"/>
              </w:rPr>
              <w:t xml:space="preserve"> </w:t>
            </w:r>
            <w:r w:rsidRPr="0034518F">
              <w:rPr>
                <w:rFonts w:ascii="Arial" w:hAnsi="Arial" w:cs="Arial"/>
                <w:bCs/>
                <w:color w:val="000000" w:themeColor="text1"/>
                <w:sz w:val="20"/>
                <w:szCs w:val="20"/>
              </w:rPr>
              <w:t>dentska anketa o kvaliteti nastavnika i nastave za svaki predmet studija (UNIST, Centar za unaprjeđenje kvalitete)</w:t>
            </w:r>
          </w:p>
          <w:p w14:paraId="2BB3A29A" w14:textId="2D4AA89B"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065707" w:rsidRPr="00477712">
              <w:rPr>
                <w:rFonts w:ascii="Arial" w:hAnsi="Arial" w:cs="Arial"/>
                <w:bCs/>
                <w:color w:val="000000" w:themeColor="text1"/>
                <w:sz w:val="20"/>
                <w:szCs w:val="20"/>
              </w:rPr>
              <w:t>prodekan za nastavu</w:t>
            </w:r>
            <w:r w:rsidR="00065707">
              <w:rPr>
                <w:rFonts w:ascii="Arial" w:hAnsi="Arial" w:cs="Arial"/>
                <w:bCs/>
                <w:color w:val="000000" w:themeColor="text1"/>
                <w:sz w:val="20"/>
                <w:szCs w:val="20"/>
              </w:rPr>
              <w:t xml:space="preserve"> i studentska pitanja</w:t>
            </w:r>
            <w:r w:rsidRPr="0034518F">
              <w:rPr>
                <w:rFonts w:ascii="Arial" w:hAnsi="Arial" w:cs="Arial"/>
                <w:bCs/>
                <w:color w:val="000000" w:themeColor="text1"/>
                <w:sz w:val="20"/>
                <w:szCs w:val="20"/>
              </w:rPr>
              <w:t>)</w:t>
            </w:r>
          </w:p>
        </w:tc>
      </w:tr>
      <w:tr w:rsidR="0034518F" w:rsidRPr="0034518F" w14:paraId="3702ACD6"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D92BC4B" w14:textId="77777777" w:rsidR="009051B6" w:rsidRPr="0034518F" w:rsidRDefault="00D91A0B" w:rsidP="00D91A0B">
            <w:p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Nastava se izvodi na hrvatskom </w:t>
            </w:r>
            <w:r w:rsidR="009051B6" w:rsidRPr="0034518F">
              <w:rPr>
                <w:rFonts w:ascii="Arial" w:hAnsi="Arial" w:cs="Arial"/>
                <w:color w:val="000000" w:themeColor="text1"/>
                <w:sz w:val="20"/>
                <w:szCs w:val="20"/>
              </w:rPr>
              <w:t>jeziku.</w:t>
            </w:r>
          </w:p>
        </w:tc>
      </w:tr>
    </w:tbl>
    <w:p w14:paraId="6B699379" w14:textId="77777777" w:rsidR="009C4C92" w:rsidRPr="0034518F" w:rsidRDefault="009C4C92" w:rsidP="004C6617">
      <w:pPr>
        <w:spacing w:after="0" w:line="240" w:lineRule="auto"/>
        <w:rPr>
          <w:color w:val="000000" w:themeColor="text1"/>
        </w:rPr>
      </w:pPr>
    </w:p>
    <w:sectPr w:rsidR="009C4C92" w:rsidRPr="0034518F" w:rsidSect="009C4C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CFB2D" w14:textId="77777777" w:rsidR="000B2EB7" w:rsidRDefault="000B2EB7" w:rsidP="005E3441">
      <w:pPr>
        <w:spacing w:after="0" w:line="240" w:lineRule="auto"/>
      </w:pPr>
      <w:r>
        <w:separator/>
      </w:r>
    </w:p>
  </w:endnote>
  <w:endnote w:type="continuationSeparator" w:id="0">
    <w:p w14:paraId="2550A310" w14:textId="77777777" w:rsidR="000B2EB7" w:rsidRDefault="000B2EB7" w:rsidP="005E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A3BF7" w14:textId="77777777" w:rsidR="000B2EB7" w:rsidRDefault="000B2EB7" w:rsidP="005E3441">
      <w:pPr>
        <w:spacing w:after="0" w:line="240" w:lineRule="auto"/>
      </w:pPr>
      <w:r>
        <w:separator/>
      </w:r>
    </w:p>
  </w:footnote>
  <w:footnote w:type="continuationSeparator" w:id="0">
    <w:p w14:paraId="51544029" w14:textId="77777777" w:rsidR="000B2EB7" w:rsidRDefault="000B2EB7" w:rsidP="005E3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45AE56E9"/>
    <w:multiLevelType w:val="hybridMultilevel"/>
    <w:tmpl w:val="D458D02E"/>
    <w:lvl w:ilvl="0" w:tplc="F870888A">
      <w:start w:val="1"/>
      <w:numFmt w:val="decimal"/>
      <w:lvlText w:val="%1."/>
      <w:lvlJc w:val="left"/>
      <w:pPr>
        <w:ind w:left="720" w:hanging="360"/>
      </w:pPr>
    </w:lvl>
    <w:lvl w:ilvl="1" w:tplc="9DE4D612">
      <w:start w:val="1"/>
      <w:numFmt w:val="lowerLetter"/>
      <w:lvlText w:val="%2."/>
      <w:lvlJc w:val="left"/>
      <w:pPr>
        <w:ind w:left="1440" w:hanging="360"/>
      </w:pPr>
    </w:lvl>
    <w:lvl w:ilvl="2" w:tplc="F944342E">
      <w:start w:val="1"/>
      <w:numFmt w:val="lowerRoman"/>
      <w:lvlText w:val="%3."/>
      <w:lvlJc w:val="right"/>
      <w:pPr>
        <w:ind w:left="2160" w:hanging="180"/>
      </w:pPr>
    </w:lvl>
    <w:lvl w:ilvl="3" w:tplc="11E28C00">
      <w:start w:val="1"/>
      <w:numFmt w:val="decimal"/>
      <w:lvlText w:val="%4."/>
      <w:lvlJc w:val="left"/>
      <w:pPr>
        <w:ind w:left="2880" w:hanging="360"/>
      </w:pPr>
    </w:lvl>
    <w:lvl w:ilvl="4" w:tplc="8724DA04">
      <w:start w:val="1"/>
      <w:numFmt w:val="lowerLetter"/>
      <w:lvlText w:val="%5."/>
      <w:lvlJc w:val="left"/>
      <w:pPr>
        <w:ind w:left="3600" w:hanging="360"/>
      </w:pPr>
    </w:lvl>
    <w:lvl w:ilvl="5" w:tplc="8C7A8B0A">
      <w:start w:val="1"/>
      <w:numFmt w:val="lowerRoman"/>
      <w:lvlText w:val="%6."/>
      <w:lvlJc w:val="right"/>
      <w:pPr>
        <w:ind w:left="4320" w:hanging="180"/>
      </w:pPr>
    </w:lvl>
    <w:lvl w:ilvl="6" w:tplc="8AB6C92A">
      <w:start w:val="1"/>
      <w:numFmt w:val="decimal"/>
      <w:lvlText w:val="%7."/>
      <w:lvlJc w:val="left"/>
      <w:pPr>
        <w:ind w:left="5040" w:hanging="360"/>
      </w:pPr>
    </w:lvl>
    <w:lvl w:ilvl="7" w:tplc="F51275BA">
      <w:start w:val="1"/>
      <w:numFmt w:val="lowerLetter"/>
      <w:lvlText w:val="%8."/>
      <w:lvlJc w:val="left"/>
      <w:pPr>
        <w:ind w:left="5760" w:hanging="360"/>
      </w:pPr>
    </w:lvl>
    <w:lvl w:ilvl="8" w:tplc="BD8E802A">
      <w:start w:val="1"/>
      <w:numFmt w:val="lowerRoman"/>
      <w:lvlText w:val="%9."/>
      <w:lvlJc w:val="right"/>
      <w:pPr>
        <w:ind w:left="6480" w:hanging="180"/>
      </w:pPr>
    </w:lvl>
  </w:abstractNum>
  <w:abstractNum w:abstractNumId="2" w15:restartNumberingAfterBreak="0">
    <w:nsid w:val="4A611D7C"/>
    <w:multiLevelType w:val="hybridMultilevel"/>
    <w:tmpl w:val="C47C6C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E428FE"/>
    <w:multiLevelType w:val="multilevel"/>
    <w:tmpl w:val="84646BE4"/>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8"/>
  </w:num>
  <w:num w:numId="3">
    <w:abstractNumId w:val="5"/>
  </w:num>
  <w:num w:numId="4">
    <w:abstractNumId w:val="4"/>
  </w:num>
  <w:num w:numId="5">
    <w:abstractNumId w:val="3"/>
  </w:num>
  <w:num w:numId="6">
    <w:abstractNumId w:val="6"/>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16"/>
    <w:rsid w:val="00001496"/>
    <w:rsid w:val="00065707"/>
    <w:rsid w:val="00073F3F"/>
    <w:rsid w:val="000832B4"/>
    <w:rsid w:val="000B2EB7"/>
    <w:rsid w:val="000D0D73"/>
    <w:rsid w:val="00104AF0"/>
    <w:rsid w:val="00114A62"/>
    <w:rsid w:val="00177B5E"/>
    <w:rsid w:val="001B72B7"/>
    <w:rsid w:val="001E78C0"/>
    <w:rsid w:val="001F0401"/>
    <w:rsid w:val="00285D8D"/>
    <w:rsid w:val="002C198B"/>
    <w:rsid w:val="003016F7"/>
    <w:rsid w:val="00301A6A"/>
    <w:rsid w:val="003174E8"/>
    <w:rsid w:val="0034518F"/>
    <w:rsid w:val="0034569C"/>
    <w:rsid w:val="00347233"/>
    <w:rsid w:val="003C00C9"/>
    <w:rsid w:val="003F037E"/>
    <w:rsid w:val="00400FD9"/>
    <w:rsid w:val="00480720"/>
    <w:rsid w:val="004929D3"/>
    <w:rsid w:val="004C3CD8"/>
    <w:rsid w:val="004C6617"/>
    <w:rsid w:val="00513987"/>
    <w:rsid w:val="005319D5"/>
    <w:rsid w:val="00581117"/>
    <w:rsid w:val="005D2EA2"/>
    <w:rsid w:val="005E3441"/>
    <w:rsid w:val="006736BF"/>
    <w:rsid w:val="006C4F79"/>
    <w:rsid w:val="006C5BA4"/>
    <w:rsid w:val="00724218"/>
    <w:rsid w:val="00792116"/>
    <w:rsid w:val="007A4015"/>
    <w:rsid w:val="007A6F74"/>
    <w:rsid w:val="007B21CE"/>
    <w:rsid w:val="007B2643"/>
    <w:rsid w:val="007D6772"/>
    <w:rsid w:val="007E7E58"/>
    <w:rsid w:val="007F6929"/>
    <w:rsid w:val="00871E77"/>
    <w:rsid w:val="008825F0"/>
    <w:rsid w:val="008968C4"/>
    <w:rsid w:val="008F431E"/>
    <w:rsid w:val="009051B6"/>
    <w:rsid w:val="00936502"/>
    <w:rsid w:val="00996D1B"/>
    <w:rsid w:val="009C4C92"/>
    <w:rsid w:val="009D31CA"/>
    <w:rsid w:val="00A5404B"/>
    <w:rsid w:val="00AB4011"/>
    <w:rsid w:val="00AC0352"/>
    <w:rsid w:val="00AC2768"/>
    <w:rsid w:val="00AD7432"/>
    <w:rsid w:val="00AE37F4"/>
    <w:rsid w:val="00B21B09"/>
    <w:rsid w:val="00B70D6D"/>
    <w:rsid w:val="00B87BB7"/>
    <w:rsid w:val="00BA748F"/>
    <w:rsid w:val="00BC4C02"/>
    <w:rsid w:val="00C275BD"/>
    <w:rsid w:val="00C6717A"/>
    <w:rsid w:val="00C95DC9"/>
    <w:rsid w:val="00CE6857"/>
    <w:rsid w:val="00D13D66"/>
    <w:rsid w:val="00D35A9F"/>
    <w:rsid w:val="00D46EF8"/>
    <w:rsid w:val="00D91A0B"/>
    <w:rsid w:val="00DC7C5C"/>
    <w:rsid w:val="00DE2E55"/>
    <w:rsid w:val="00E00A06"/>
    <w:rsid w:val="00E154A7"/>
    <w:rsid w:val="00E54B0B"/>
    <w:rsid w:val="00E64D18"/>
    <w:rsid w:val="00E824A6"/>
    <w:rsid w:val="00E907F8"/>
    <w:rsid w:val="00E9094F"/>
    <w:rsid w:val="00ED0396"/>
    <w:rsid w:val="00EE52FA"/>
    <w:rsid w:val="00F015DD"/>
    <w:rsid w:val="00F042C8"/>
    <w:rsid w:val="00F10A34"/>
    <w:rsid w:val="00F36D32"/>
    <w:rsid w:val="00F55EF6"/>
    <w:rsid w:val="00F57CE6"/>
    <w:rsid w:val="00FC2AAF"/>
    <w:rsid w:val="00FD77C1"/>
    <w:rsid w:val="506FA200"/>
    <w:rsid w:val="762DFE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04E0C"/>
  <w15:docId w15:val="{BE45A6C6-727C-440A-9100-F0322F2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116"/>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92116"/>
    <w:rPr>
      <w:rFonts w:cs="Times New Roman"/>
      <w:b/>
      <w:bCs/>
    </w:rPr>
  </w:style>
  <w:style w:type="paragraph" w:styleId="Odlomakpopisa">
    <w:name w:val="List Paragraph"/>
    <w:basedOn w:val="Normal"/>
    <w:uiPriority w:val="34"/>
    <w:qFormat/>
    <w:rsid w:val="002C198B"/>
    <w:pPr>
      <w:ind w:left="720"/>
      <w:contextualSpacing/>
    </w:pPr>
  </w:style>
  <w:style w:type="paragraph" w:styleId="Zaglavlje">
    <w:name w:val="header"/>
    <w:basedOn w:val="Normal"/>
    <w:link w:val="ZaglavljeChar"/>
    <w:uiPriority w:val="99"/>
    <w:unhideWhenUsed/>
    <w:rsid w:val="005E34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E3441"/>
    <w:rPr>
      <w:rFonts w:ascii="Calibri" w:eastAsia="Calibri" w:hAnsi="Calibri" w:cs="Times New Roman"/>
    </w:rPr>
  </w:style>
  <w:style w:type="paragraph" w:styleId="Podnoje">
    <w:name w:val="footer"/>
    <w:basedOn w:val="Normal"/>
    <w:link w:val="PodnojeChar"/>
    <w:uiPriority w:val="99"/>
    <w:unhideWhenUsed/>
    <w:rsid w:val="005E34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E3441"/>
    <w:rPr>
      <w:rFonts w:ascii="Calibri" w:eastAsia="Calibri" w:hAnsi="Calibri" w:cs="Times New Roman"/>
    </w:rPr>
  </w:style>
  <w:style w:type="paragraph" w:styleId="Tekstbalonia">
    <w:name w:val="Balloon Text"/>
    <w:basedOn w:val="Normal"/>
    <w:link w:val="TekstbaloniaChar"/>
    <w:uiPriority w:val="99"/>
    <w:semiHidden/>
    <w:unhideWhenUsed/>
    <w:rsid w:val="008F43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F43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927620">
      <w:bodyDiv w:val="1"/>
      <w:marLeft w:val="0"/>
      <w:marRight w:val="0"/>
      <w:marTop w:val="0"/>
      <w:marBottom w:val="0"/>
      <w:divBdr>
        <w:top w:val="none" w:sz="0" w:space="0" w:color="auto"/>
        <w:left w:val="none" w:sz="0" w:space="0" w:color="auto"/>
        <w:bottom w:val="none" w:sz="0" w:space="0" w:color="auto"/>
        <w:right w:val="none" w:sz="0" w:space="0" w:color="auto"/>
      </w:divBdr>
    </w:div>
    <w:div w:id="14148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9BF3-5521-4A44-A979-130A76E8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1996</Words>
  <Characters>11378</Characters>
  <Application>Microsoft Office Word</Application>
  <DocSecurity>0</DocSecurity>
  <Lines>94</Lines>
  <Paragraphs>26</Paragraphs>
  <ScaleCrop>false</ScaleCrop>
  <Company>SG Splitska Banka</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13</cp:revision>
  <cp:lastPrinted>2018-10-09T12:55:00Z</cp:lastPrinted>
  <dcterms:created xsi:type="dcterms:W3CDTF">2021-10-12T12:41:00Z</dcterms:created>
  <dcterms:modified xsi:type="dcterms:W3CDTF">2024-10-31T11:15:00Z</dcterms:modified>
</cp:coreProperties>
</file>